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both"/>
        <w:rPr>
          <w:rFonts w:ascii="Calibri" w:cs="Calibri" w:eastAsia="Calibri" w:hAnsi="Calibri"/>
        </w:rPr>
      </w:pPr>
      <w:bookmarkStart w:colFirst="0" w:colLast="0" w:name="_heading=h.95kjdv34qhq2" w:id="0"/>
      <w:bookmarkEnd w:id="0"/>
      <w:r w:rsidDel="00000000" w:rsidR="00000000" w:rsidRPr="00000000">
        <w:rPr>
          <w:rFonts w:ascii="Calibri" w:cs="Calibri" w:eastAsia="Calibri" w:hAnsi="Calibri"/>
          <w:rtl w:val="0"/>
        </w:rPr>
        <w:t xml:space="preserve">Smlouva o nájmu družstevního bytu </w:t>
      </w:r>
    </w:p>
    <w:p w:rsidR="00000000" w:rsidDel="00000000" w:rsidP="00000000" w:rsidRDefault="00000000" w:rsidRPr="00000000" w14:paraId="0000000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3">
      <w:pPr>
        <w:jc w:val="both"/>
        <w:rPr>
          <w:rFonts w:ascii="Calibri" w:cs="Calibri" w:eastAsia="Calibri" w:hAnsi="Calibri"/>
          <w:b w:val="1"/>
        </w:rPr>
      </w:pPr>
      <w:r w:rsidDel="00000000" w:rsidR="00000000" w:rsidRPr="00000000">
        <w:rPr>
          <w:rFonts w:ascii="Calibri" w:cs="Calibri" w:eastAsia="Calibri" w:hAnsi="Calibri"/>
          <w:b w:val="1"/>
          <w:rtl w:val="0"/>
        </w:rPr>
        <w:t xml:space="preserve">Pronajímatel: </w:t>
      </w:r>
    </w:p>
    <w:p w:rsidR="00000000" w:rsidDel="00000000" w:rsidP="00000000" w:rsidRDefault="00000000" w:rsidRPr="00000000" w14:paraId="00000004">
      <w:pPr>
        <w:jc w:val="both"/>
        <w:rPr>
          <w:rFonts w:ascii="Calibri" w:cs="Calibri" w:eastAsia="Calibri" w:hAnsi="Calibri"/>
        </w:rPr>
      </w:pPr>
      <w:r w:rsidDel="00000000" w:rsidR="00000000" w:rsidRPr="00000000">
        <w:rPr>
          <w:rFonts w:ascii="Calibri" w:cs="Calibri" w:eastAsia="Calibri" w:hAnsi="Calibri"/>
          <w:rtl w:val="0"/>
        </w:rPr>
        <w:t xml:space="preserve">Bytové družstvo Dürerova, se sídlem: Dürerova 2173/10, Strašnice, 10000 Praha 10</w:t>
      </w:r>
    </w:p>
    <w:p w:rsidR="00000000" w:rsidDel="00000000" w:rsidP="00000000" w:rsidRDefault="00000000" w:rsidRPr="00000000" w14:paraId="00000005">
      <w:pPr>
        <w:jc w:val="both"/>
        <w:rPr>
          <w:rFonts w:ascii="Calibri" w:cs="Calibri" w:eastAsia="Calibri" w:hAnsi="Calibri"/>
        </w:rPr>
      </w:pPr>
      <w:r w:rsidDel="00000000" w:rsidR="00000000" w:rsidRPr="00000000">
        <w:rPr>
          <w:rFonts w:ascii="Calibri" w:cs="Calibri" w:eastAsia="Calibri" w:hAnsi="Calibri"/>
          <w:b w:val="1"/>
          <w:rtl w:val="0"/>
        </w:rPr>
        <w:t xml:space="preserve">IČ: </w:t>
      </w:r>
      <w:r w:rsidDel="00000000" w:rsidR="00000000" w:rsidRPr="00000000">
        <w:rPr>
          <w:rFonts w:ascii="Calibri" w:cs="Calibri" w:eastAsia="Calibri" w:hAnsi="Calibri"/>
          <w:rtl w:val="0"/>
        </w:rPr>
        <w:t xml:space="preserve">267 24 286, </w:t>
      </w:r>
    </w:p>
    <w:p w:rsidR="00000000" w:rsidDel="00000000" w:rsidP="00000000" w:rsidRDefault="00000000" w:rsidRPr="00000000" w14:paraId="00000006">
      <w:pPr>
        <w:jc w:val="both"/>
        <w:rPr>
          <w:rFonts w:ascii="Calibri" w:cs="Calibri" w:eastAsia="Calibri" w:hAnsi="Calibri"/>
        </w:rPr>
      </w:pPr>
      <w:r w:rsidDel="00000000" w:rsidR="00000000" w:rsidRPr="00000000">
        <w:rPr>
          <w:rFonts w:ascii="Calibri" w:cs="Calibri" w:eastAsia="Calibri" w:hAnsi="Calibri"/>
          <w:b w:val="1"/>
          <w:rtl w:val="0"/>
        </w:rPr>
        <w:t xml:space="preserve">zapsané v:</w:t>
      </w:r>
      <w:r w:rsidDel="00000000" w:rsidR="00000000" w:rsidRPr="00000000">
        <w:rPr>
          <w:rFonts w:ascii="Calibri" w:cs="Calibri" w:eastAsia="Calibri" w:hAnsi="Calibri"/>
          <w:rtl w:val="0"/>
        </w:rPr>
        <w:t xml:space="preserve"> Obchodním rejstříku, spisová značka: Dr 5673, vedená u Městského soudu v Praze</w:t>
      </w:r>
    </w:p>
    <w:p w:rsidR="00000000" w:rsidDel="00000000" w:rsidP="00000000" w:rsidRDefault="00000000" w:rsidRPr="00000000" w14:paraId="00000007">
      <w:pPr>
        <w:jc w:val="both"/>
        <w:rPr>
          <w:rFonts w:ascii="Calibri" w:cs="Calibri" w:eastAsia="Calibri" w:hAnsi="Calibri"/>
        </w:rPr>
      </w:pPr>
      <w:r w:rsidDel="00000000" w:rsidR="00000000" w:rsidRPr="00000000">
        <w:rPr>
          <w:rFonts w:ascii="Calibri" w:cs="Calibri" w:eastAsia="Calibri" w:hAnsi="Calibri"/>
          <w:b w:val="1"/>
          <w:rtl w:val="0"/>
        </w:rPr>
        <w:t xml:space="preserve">zastoupené:</w:t>
      </w:r>
      <w:r w:rsidDel="00000000" w:rsidR="00000000" w:rsidRPr="00000000">
        <w:rPr>
          <w:rFonts w:ascii="Calibri" w:cs="Calibri" w:eastAsia="Calibri" w:hAnsi="Calibri"/>
          <w:rtl w:val="0"/>
        </w:rPr>
        <w:t xml:space="preserve"> Markem Valáškem předsedou představenstva a Janou Vojtěchovou místopředsedkyní představenstva</w:t>
      </w:r>
    </w:p>
    <w:p w:rsidR="00000000" w:rsidDel="00000000" w:rsidP="00000000" w:rsidRDefault="00000000" w:rsidRPr="00000000" w14:paraId="00000008">
      <w:pPr>
        <w:jc w:val="both"/>
        <w:rPr>
          <w:rFonts w:ascii="Calibri" w:cs="Calibri" w:eastAsia="Calibri" w:hAnsi="Calibri"/>
        </w:rPr>
      </w:pPr>
      <w:r w:rsidDel="00000000" w:rsidR="00000000" w:rsidRPr="00000000">
        <w:rPr>
          <w:rFonts w:ascii="Calibri" w:cs="Calibri" w:eastAsia="Calibri" w:hAnsi="Calibri"/>
          <w:rtl w:val="0"/>
        </w:rPr>
        <w:t xml:space="preserve">(dále jen pronajímatel )</w:t>
      </w:r>
    </w:p>
    <w:p w:rsidR="00000000" w:rsidDel="00000000" w:rsidP="00000000" w:rsidRDefault="00000000" w:rsidRPr="00000000" w14:paraId="0000000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jc w:val="both"/>
        <w:rPr>
          <w:rFonts w:ascii="Calibri" w:cs="Calibri" w:eastAsia="Calibri" w:hAnsi="Calibri"/>
        </w:rPr>
      </w:pPr>
      <w:r w:rsidDel="00000000" w:rsidR="00000000" w:rsidRPr="00000000">
        <w:rPr>
          <w:rFonts w:ascii="Calibri" w:cs="Calibri" w:eastAsia="Calibri" w:hAnsi="Calibri"/>
          <w:rtl w:val="0"/>
        </w:rPr>
        <w:t xml:space="preserve">Nájemce – člen družstva:</w:t>
      </w:r>
    </w:p>
    <w:p w:rsidR="00000000" w:rsidDel="00000000" w:rsidP="00000000" w:rsidRDefault="00000000" w:rsidRPr="00000000" w14:paraId="0000000B">
      <w:pPr>
        <w:jc w:val="both"/>
        <w:rPr>
          <w:rFonts w:ascii="Calibri" w:cs="Calibri" w:eastAsia="Calibri" w:hAnsi="Calibri"/>
          <w:highlight w:val="yellow"/>
        </w:rPr>
      </w:pPr>
      <w:r w:rsidDel="00000000" w:rsidR="00000000" w:rsidRPr="00000000">
        <w:rPr>
          <w:rFonts w:ascii="Calibri" w:cs="Calibri" w:eastAsia="Calibri" w:hAnsi="Calibri"/>
          <w:rtl w:val="0"/>
        </w:rPr>
        <w:t xml:space="preserve">Jméno, příjmení, titul: </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0C">
      <w:pPr>
        <w:jc w:val="both"/>
        <w:rPr>
          <w:rFonts w:ascii="Calibri" w:cs="Calibri" w:eastAsia="Calibri" w:hAnsi="Calibri"/>
          <w:highlight w:val="yellow"/>
        </w:rPr>
      </w:pPr>
      <w:r w:rsidDel="00000000" w:rsidR="00000000" w:rsidRPr="00000000">
        <w:rPr>
          <w:rFonts w:ascii="Calibri" w:cs="Calibri" w:eastAsia="Calibri" w:hAnsi="Calibri"/>
          <w:rtl w:val="0"/>
        </w:rPr>
        <w:t xml:space="preserve">Datum a místo narození</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0D">
      <w:pPr>
        <w:jc w:val="both"/>
        <w:rPr>
          <w:rFonts w:ascii="Calibri" w:cs="Calibri" w:eastAsia="Calibri" w:hAnsi="Calibri"/>
        </w:rPr>
      </w:pPr>
      <w:r w:rsidDel="00000000" w:rsidR="00000000" w:rsidRPr="00000000">
        <w:rPr>
          <w:rFonts w:ascii="Calibri" w:cs="Calibri" w:eastAsia="Calibri" w:hAnsi="Calibri"/>
          <w:rtl w:val="0"/>
        </w:rPr>
        <w:t xml:space="preserve">(dále jen nájemce )</w:t>
      </w:r>
    </w:p>
    <w:p w:rsidR="00000000" w:rsidDel="00000000" w:rsidP="00000000" w:rsidRDefault="00000000" w:rsidRPr="00000000" w14:paraId="0000000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jc w:val="both"/>
        <w:rPr>
          <w:rFonts w:ascii="Calibri" w:cs="Calibri" w:eastAsia="Calibri" w:hAnsi="Calibri"/>
        </w:rPr>
      </w:pPr>
      <w:r w:rsidDel="00000000" w:rsidR="00000000" w:rsidRPr="00000000">
        <w:rPr>
          <w:rFonts w:ascii="Calibri" w:cs="Calibri" w:eastAsia="Calibri" w:hAnsi="Calibri"/>
          <w:rtl w:val="0"/>
        </w:rPr>
        <w:t xml:space="preserve">uzavřeli níže uvedeného dne, měsíce a roku tuto </w:t>
      </w:r>
      <w:r w:rsidDel="00000000" w:rsidR="00000000" w:rsidRPr="00000000">
        <w:rPr>
          <w:rFonts w:ascii="Calibri" w:cs="Calibri" w:eastAsia="Calibri" w:hAnsi="Calibri"/>
          <w:b w:val="1"/>
          <w:rtl w:val="0"/>
        </w:rPr>
        <w:t xml:space="preserve">smlouvu o nájmu družstevního bytu</w:t>
      </w:r>
      <w:r w:rsidDel="00000000" w:rsidR="00000000" w:rsidRPr="00000000">
        <w:rPr>
          <w:rFonts w:ascii="Calibri" w:cs="Calibri" w:eastAsia="Calibri" w:hAnsi="Calibri"/>
          <w:rtl w:val="0"/>
        </w:rPr>
        <w:t xml:space="preserve"> (dále jen „nájemní smlouva“) následovně: </w:t>
      </w:r>
    </w:p>
    <w:p w:rsidR="00000000" w:rsidDel="00000000" w:rsidP="00000000" w:rsidRDefault="00000000" w:rsidRPr="00000000" w14:paraId="0000001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numPr>
          <w:ilvl w:val="0"/>
          <w:numId w:val="6"/>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Bytové družstvo Dürerova prohlašuje, že je výlučným vlastníkem domů čp. 2172, 2173, 2174, 175, 2176, 2177, které jsou součástí pozemků s čísly parcel 4021/9, 4021/10, 4032/6, 4032/7, 032/8, 4032/9, 4032/10, 4032/11 (dále jen “pozemek”), katastrální území Strašnice, zapsaných na LV 3670 vedeném Katastrální úřadem pro hlavní město Prahu, Katastrální pracoviště Praha.</w:t>
      </w:r>
    </w:p>
    <w:p w:rsidR="00000000" w:rsidDel="00000000" w:rsidP="00000000" w:rsidRDefault="00000000" w:rsidRPr="00000000" w14:paraId="00000012">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numPr>
          <w:ilvl w:val="0"/>
          <w:numId w:val="6"/>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Nájemce je členem Bytového družstva Dürerova. S členstvím nájemce v družstvu je spojeno právo na uzavření smlouvy o nájmu družstevního bytu za podmínek určených stanovami družstva v případě, kdy se nájemce stává členem družstva bez právního předchůdce. V případě, že nájemce nabývá družstevní podíl od jiné osoby, je právo nájmu družstevního bytu spojeno s jeho družstevním podílem a přechází na nájemce zároveň s veškerými právy a povinnostmi spojenými s družstevním podílem.</w:t>
      </w:r>
    </w:p>
    <w:p w:rsidR="00000000" w:rsidDel="00000000" w:rsidP="00000000" w:rsidRDefault="00000000" w:rsidRPr="00000000" w14:paraId="00000014">
      <w:pPr>
        <w:ind w:left="270" w:hanging="36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5">
      <w:pPr>
        <w:numPr>
          <w:ilvl w:val="0"/>
          <w:numId w:val="6"/>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Účelem této smlouvy je upravit blíže práva a povinnosti stran vyplývající z užívání družstevního bytu členem družstva (nájemcem).  </w:t>
      </w:r>
    </w:p>
    <w:p w:rsidR="00000000" w:rsidDel="00000000" w:rsidP="00000000" w:rsidRDefault="00000000" w:rsidRPr="00000000" w14:paraId="00000016">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II.</w:t>
      </w:r>
    </w:p>
    <w:p w:rsidR="00000000" w:rsidDel="00000000" w:rsidP="00000000" w:rsidRDefault="00000000" w:rsidRPr="00000000" w14:paraId="00000019">
      <w:pPr>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Předmět smlouvy</w:t>
      </w:r>
    </w:p>
    <w:p w:rsidR="00000000" w:rsidDel="00000000" w:rsidP="00000000" w:rsidRDefault="00000000" w:rsidRPr="00000000" w14:paraId="0000001A">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numPr>
          <w:ilvl w:val="0"/>
          <w:numId w:val="4"/>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Předmětem této smlouvy je nájem bytu č. </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nacházející se v</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rtl w:val="0"/>
        </w:rPr>
        <w:t xml:space="preserve">podlaží domu č.p. </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 na adrese Dürerova 21</w:t>
      </w:r>
      <w:r w:rsidDel="00000000" w:rsidR="00000000" w:rsidRPr="00000000">
        <w:rPr>
          <w:rFonts w:ascii="Calibri" w:cs="Calibri" w:eastAsia="Calibri" w:hAnsi="Calibri"/>
          <w:highlight w:val="yellow"/>
          <w:rtl w:val="0"/>
        </w:rPr>
        <w:t xml:space="preserve">   / ,</w:t>
      </w:r>
      <w:r w:rsidDel="00000000" w:rsidR="00000000" w:rsidRPr="00000000">
        <w:rPr>
          <w:rFonts w:ascii="Calibri" w:cs="Calibri" w:eastAsia="Calibri" w:hAnsi="Calibri"/>
          <w:rtl w:val="0"/>
        </w:rPr>
        <w:t xml:space="preserve"> Strašnice, 10000 Praha 10 (dále jen „byt“ a „dům“), který je ve vlastnictví družstva. </w:t>
      </w:r>
    </w:p>
    <w:p w:rsidR="00000000" w:rsidDel="00000000" w:rsidP="00000000" w:rsidRDefault="00000000" w:rsidRPr="00000000" w14:paraId="0000001C">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numPr>
          <w:ilvl w:val="0"/>
          <w:numId w:val="4"/>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Družstvo tímto přenechává nájemci byt do užívání za podmínek stanovených touto smlouvou a stanovami družstva. Nájemce byt přijímá do svého užívání a zavazuje se plnit řádně a včas své povinnosti vyplývající z této smlouvy a stanov družstva. S nájmem bytu je spojeno také právo nájemce užívat společné prostory a zařízení domu a požívat plnění spojená s užíváním bytu. </w:t>
      </w:r>
    </w:p>
    <w:p w:rsidR="00000000" w:rsidDel="00000000" w:rsidP="00000000" w:rsidRDefault="00000000" w:rsidRPr="00000000" w14:paraId="0000001E">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numPr>
          <w:ilvl w:val="0"/>
          <w:numId w:val="4"/>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Tato smlouva se uzavírá na dobu neurčitou.</w:t>
      </w:r>
    </w:p>
    <w:p w:rsidR="00000000" w:rsidDel="00000000" w:rsidP="00000000" w:rsidRDefault="00000000" w:rsidRPr="00000000" w14:paraId="00000020">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numPr>
          <w:ilvl w:val="0"/>
          <w:numId w:val="4"/>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S nájemcem budou byt užívat tyto osoby: </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celkem bude/budou byt  užívat </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 osob/y.</w:t>
      </w:r>
    </w:p>
    <w:p w:rsidR="00000000" w:rsidDel="00000000" w:rsidP="00000000" w:rsidRDefault="00000000" w:rsidRPr="00000000" w14:paraId="00000022">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III.</w:t>
      </w:r>
    </w:p>
    <w:p w:rsidR="00000000" w:rsidDel="00000000" w:rsidP="00000000" w:rsidRDefault="00000000" w:rsidRPr="00000000" w14:paraId="00000025">
      <w:pPr>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Předání bytu do užívání</w:t>
      </w:r>
    </w:p>
    <w:p w:rsidR="00000000" w:rsidDel="00000000" w:rsidP="00000000" w:rsidRDefault="00000000" w:rsidRPr="00000000" w14:paraId="00000026">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numPr>
          <w:ilvl w:val="0"/>
          <w:numId w:val="13"/>
        </w:numPr>
        <w:tabs>
          <w:tab w:val="left" w:leader="none" w:pos="426"/>
        </w:tabs>
        <w:ind w:left="270" w:hanging="360"/>
        <w:jc w:val="both"/>
        <w:rPr>
          <w:rFonts w:ascii="Calibri" w:cs="Calibri" w:eastAsia="Calibri" w:hAnsi="Calibri"/>
          <w:u w:val="none"/>
        </w:rPr>
      </w:pPr>
      <w:r w:rsidDel="00000000" w:rsidR="00000000" w:rsidRPr="00000000">
        <w:rPr>
          <w:rFonts w:ascii="Calibri" w:cs="Calibri" w:eastAsia="Calibri" w:hAnsi="Calibri"/>
          <w:rtl w:val="0"/>
        </w:rPr>
        <w:t xml:space="preserve">Družstvo přenechává nájemci byt do užívání.</w:t>
      </w:r>
    </w:p>
    <w:p w:rsidR="00000000" w:rsidDel="00000000" w:rsidP="00000000" w:rsidRDefault="00000000" w:rsidRPr="00000000" w14:paraId="00000028">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numPr>
          <w:ilvl w:val="0"/>
          <w:numId w:val="13"/>
        </w:numPr>
        <w:tabs>
          <w:tab w:val="left" w:leader="none" w:pos="704"/>
          <w:tab w:val="left" w:leader="none" w:pos="846"/>
        </w:tabs>
        <w:ind w:left="270" w:hanging="360"/>
        <w:jc w:val="both"/>
        <w:rPr>
          <w:rFonts w:ascii="Calibri" w:cs="Calibri" w:eastAsia="Calibri" w:hAnsi="Calibri"/>
          <w:u w:val="none"/>
        </w:rPr>
      </w:pPr>
      <w:r w:rsidDel="00000000" w:rsidR="00000000" w:rsidRPr="00000000">
        <w:rPr>
          <w:rFonts w:ascii="Calibri" w:cs="Calibri" w:eastAsia="Calibri" w:hAnsi="Calibri"/>
          <w:rtl w:val="0"/>
        </w:rPr>
        <w:t xml:space="preserve">V případě převodu družstevního podílu předává nájemci byt původní člen družstva – převodce družstevního podílu. V případě přechodu družstevního podílu děděním vstupuje nájemce jako dědic do práv a povinností původního člena družstva – zůstavitele družstevního podílu ke dni úmrtí zůstavitele a byt se fyzicky nepředává.</w:t>
      </w:r>
    </w:p>
    <w:p w:rsidR="00000000" w:rsidDel="00000000" w:rsidP="00000000" w:rsidRDefault="00000000" w:rsidRPr="00000000" w14:paraId="0000002A">
      <w:pPr>
        <w:tabs>
          <w:tab w:val="left" w:leader="none" w:pos="704"/>
          <w:tab w:val="left" w:leader="none" w:pos="846"/>
        </w:tabs>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numPr>
          <w:ilvl w:val="0"/>
          <w:numId w:val="13"/>
        </w:numPr>
        <w:tabs>
          <w:tab w:val="left" w:leader="none" w:pos="704"/>
          <w:tab w:val="left" w:leader="none" w:pos="846"/>
        </w:tabs>
        <w:ind w:left="270" w:hanging="360"/>
        <w:jc w:val="both"/>
        <w:rPr>
          <w:rFonts w:ascii="Calibri" w:cs="Calibri" w:eastAsia="Calibri" w:hAnsi="Calibri"/>
          <w:u w:val="none"/>
        </w:rPr>
      </w:pPr>
      <w:r w:rsidDel="00000000" w:rsidR="00000000" w:rsidRPr="00000000">
        <w:rPr>
          <w:rFonts w:ascii="Calibri" w:cs="Calibri" w:eastAsia="Calibri" w:hAnsi="Calibri"/>
          <w:rtl w:val="0"/>
        </w:rPr>
        <w:t xml:space="preserve">Nájemce tímto potvrzuje, že byt přebírá do svého užívání bez výhrad a v takovém stavu, v jakém stojí a leží ke dni uzavření této smlouvy.</w:t>
      </w:r>
    </w:p>
    <w:p w:rsidR="00000000" w:rsidDel="00000000" w:rsidP="00000000" w:rsidRDefault="00000000" w:rsidRPr="00000000" w14:paraId="0000002C">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IV.</w:t>
      </w:r>
    </w:p>
    <w:p w:rsidR="00000000" w:rsidDel="00000000" w:rsidP="00000000" w:rsidRDefault="00000000" w:rsidRPr="00000000" w14:paraId="0000002F">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Nájemné a služby</w:t>
      </w:r>
    </w:p>
    <w:p w:rsidR="00000000" w:rsidDel="00000000" w:rsidP="00000000" w:rsidRDefault="00000000" w:rsidRPr="00000000" w14:paraId="00000030">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tabs>
          <w:tab w:val="left" w:leader="none" w:pos="852"/>
        </w:tabs>
        <w:ind w:left="270" w:hanging="360"/>
        <w:jc w:val="both"/>
        <w:rPr>
          <w:rFonts w:ascii="Calibri" w:cs="Calibri" w:eastAsia="Calibri" w:hAnsi="Calibri"/>
          <w:i w:val="1"/>
          <w:u w:val="single"/>
        </w:rPr>
      </w:pPr>
      <w:r w:rsidDel="00000000" w:rsidR="00000000" w:rsidRPr="00000000">
        <w:rPr>
          <w:rFonts w:ascii="Calibri" w:cs="Calibri" w:eastAsia="Calibri" w:hAnsi="Calibri"/>
          <w:i w:val="1"/>
          <w:u w:val="single"/>
          <w:rtl w:val="0"/>
        </w:rPr>
        <w:t xml:space="preserve">Nájemné:</w:t>
      </w:r>
    </w:p>
    <w:p w:rsidR="00000000" w:rsidDel="00000000" w:rsidP="00000000" w:rsidRDefault="00000000" w:rsidRPr="00000000" w14:paraId="00000032">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Nájemce je povinen platit nájemné za užívání bytu v poměrné výši nákladů a výdajů na správu a provoz domu a pozemku a na technické zhodnocení domu (modernizace a rekonstrukce) za stanovené období, včetně tvorby dlouhodobé zálohy na opravy a investice. </w:t>
      </w:r>
    </w:p>
    <w:p w:rsidR="00000000" w:rsidDel="00000000" w:rsidP="00000000" w:rsidRDefault="00000000" w:rsidRPr="00000000" w14:paraId="00000033">
      <w:p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4">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Součástí nájemného je pravidelný nebo i jednorázový příspěvek na tvorbu dlouhodobé zálohy na opravy, investice  a technické zhodnocení domu (dále jen fond oprav). Jeho výši stanoví příslušný orgán družstva v souladu s předpokládanými náklady na opravy nebo výdaji na technické zhodnocení domu a investice. Zůstatek fondu oprav se převádí do příštího roku a nevypořádává se s nájemcem ani při ukončení nájmu. </w:t>
      </w:r>
    </w:p>
    <w:p w:rsidR="00000000" w:rsidDel="00000000" w:rsidP="00000000" w:rsidRDefault="00000000" w:rsidRPr="00000000" w14:paraId="00000035">
      <w:pPr>
        <w:tabs>
          <w:tab w:val="left" w:leader="none" w:pos="85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Součástí nájemného je dále poplatek na správu družstva.  Tento poplatek je stanoven pevnou částkou a nevyúčtovává se.</w:t>
      </w:r>
    </w:p>
    <w:p w:rsidR="00000000" w:rsidDel="00000000" w:rsidP="00000000" w:rsidRDefault="00000000" w:rsidRPr="00000000" w14:paraId="00000037">
      <w:pPr>
        <w:ind w:left="270" w:hanging="36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8">
      <w:pPr>
        <w:tabs>
          <w:tab w:val="left" w:leader="none" w:pos="852"/>
        </w:tabs>
        <w:ind w:left="270" w:hanging="360"/>
        <w:jc w:val="both"/>
        <w:rPr>
          <w:rFonts w:ascii="Calibri" w:cs="Calibri" w:eastAsia="Calibri" w:hAnsi="Calibri"/>
          <w:i w:val="1"/>
          <w:u w:val="single"/>
        </w:rPr>
      </w:pPr>
      <w:r w:rsidDel="00000000" w:rsidR="00000000" w:rsidRPr="00000000">
        <w:rPr>
          <w:rFonts w:ascii="Calibri" w:cs="Calibri" w:eastAsia="Calibri" w:hAnsi="Calibri"/>
          <w:i w:val="1"/>
          <w:u w:val="single"/>
          <w:rtl w:val="0"/>
        </w:rPr>
        <w:t xml:space="preserve">Služby:</w:t>
      </w:r>
    </w:p>
    <w:p w:rsidR="00000000" w:rsidDel="00000000" w:rsidP="00000000" w:rsidRDefault="00000000" w:rsidRPr="00000000" w14:paraId="00000039">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Nájemce je vedle nájemného povinen hradit náklady na plnění spojená s užíváním bytu, tj. dodávky vody a odvádění odpadních vod, provoz výtahu, osvětlení společných prostor v domě, úklid společných prostor v domě a odvoz komunálního odpadu a další plnění, které jsou nájemci poskytovány (dále jen „služby“). </w:t>
      </w:r>
    </w:p>
    <w:p w:rsidR="00000000" w:rsidDel="00000000" w:rsidP="00000000" w:rsidRDefault="00000000" w:rsidRPr="00000000" w14:paraId="0000003A">
      <w:pPr>
        <w:tabs>
          <w:tab w:val="left" w:leader="none" w:pos="85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O způsobu rozúčtování nákladů na služby rozhodne družstvo, není-li dále stanoveno jinak. Změnit způsob rozúčtování je možné vždy až pro nové zúčtovací období. Nerozhodne-li družstvo jinak, rozúčtují se náklady na služby způsobem uvedeným v zákoně.</w:t>
      </w:r>
    </w:p>
    <w:p w:rsidR="00000000" w:rsidDel="00000000" w:rsidP="00000000" w:rsidRDefault="00000000" w:rsidRPr="00000000" w14:paraId="0000003C">
      <w:pPr>
        <w:tabs>
          <w:tab w:val="left" w:leader="none" w:pos="85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Není-li jiným právním předpisem stanoveno jinak, skutečnou výši nákladů a záloh za jednotlivé služby vyúčtuje družstvo nájemci vždy za zúčtovací období a vyúčtování doručí nájemci nejpozději do konce dubna následujícího kalendářního roku. Ve vyúčtování musí být uvedena skutečná výše nákladů na služby v členění podle poskytovaných služeb, včetně uvedení celkové výše přijatých měsíčních záloh za služby tak, aby výše případných rozdílů ve vyúčtování byla zřejmá a kontrolovatelná z hlediska způsobů a pravidel sjednaných pro rozúčtování. Finanční vyrovnání provede družstvo a nájemce nejpozději ve lhůtě 4 měsíců ode dne doručení vyúčtování nájemci.</w:t>
      </w:r>
    </w:p>
    <w:p w:rsidR="00000000" w:rsidDel="00000000" w:rsidP="00000000" w:rsidRDefault="00000000" w:rsidRPr="00000000" w14:paraId="0000003E">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Přeplatek nebo nedoplatek z vyúčtování záloh podle odst. 8. je splatný nejpozději do 4 měsíců po doručení vyúčtování nájemci, nestanoví-li jiný právní předpis jinak. Při výplatě přeplatku z úhrad za plnění spojená s užíváním bytu má družstvo právo započíst své splatné pohledávky vůči nájemci.</w:t>
      </w:r>
    </w:p>
    <w:p w:rsidR="00000000" w:rsidDel="00000000" w:rsidP="00000000" w:rsidRDefault="00000000" w:rsidRPr="00000000" w14:paraId="00000040">
      <w:pPr>
        <w:ind w:left="270" w:hanging="36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1">
      <w:pPr>
        <w:numPr>
          <w:ilvl w:val="0"/>
          <w:numId w:val="9"/>
        </w:numPr>
        <w:tabs>
          <w:tab w:val="left" w:leader="none" w:pos="85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Přesný rozpis měsíčního nájemného a služeb (záloh na služby) je uveden v evidenčním listě (který je nedílnou součástí této nájemní smlouvy. Nájemné a zálohy na služby se platí zálohově, a to měsíčně nejpozději do dvacátého dne příslušného měsíce na účet družstva č. </w:t>
      </w:r>
      <w:r w:rsidDel="00000000" w:rsidR="00000000" w:rsidRPr="00000000">
        <w:rPr>
          <w:rFonts w:ascii="Arial" w:cs="Arial" w:eastAsia="Arial" w:hAnsi="Arial"/>
          <w:highlight w:val="white"/>
          <w:rtl w:val="0"/>
        </w:rPr>
        <w:t xml:space="preserve">9040460002/5500</w:t>
      </w:r>
      <w:r w:rsidDel="00000000" w:rsidR="00000000" w:rsidRPr="00000000">
        <w:rPr>
          <w:rFonts w:ascii="Calibri" w:cs="Calibri" w:eastAsia="Calibri" w:hAnsi="Calibri"/>
          <w:rtl w:val="0"/>
        </w:rPr>
        <w:t xml:space="preserve">, pod VS </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42">
      <w:pPr>
        <w:tabs>
          <w:tab w:val="left" w:leader="none" w:pos="85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V.</w:t>
      </w:r>
    </w:p>
    <w:p w:rsidR="00000000" w:rsidDel="00000000" w:rsidP="00000000" w:rsidRDefault="00000000" w:rsidRPr="00000000" w14:paraId="00000044">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Změny výše plateb</w:t>
      </w:r>
    </w:p>
    <w:p w:rsidR="00000000" w:rsidDel="00000000" w:rsidP="00000000" w:rsidRDefault="00000000" w:rsidRPr="00000000" w14:paraId="00000045">
      <w:pPr>
        <w:tabs>
          <w:tab w:val="left" w:leader="none" w:pos="85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tabs>
          <w:tab w:val="left" w:leader="none" w:pos="42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1.</w:t>
        <w:tab/>
        <w:t xml:space="preserve">Příslušný orgán družstva rozhoduje o:</w:t>
      </w:r>
    </w:p>
    <w:p w:rsidR="00000000" w:rsidDel="00000000" w:rsidP="00000000" w:rsidRDefault="00000000" w:rsidRPr="00000000" w14:paraId="00000047">
      <w:pPr>
        <w:numPr>
          <w:ilvl w:val="0"/>
          <w:numId w:val="10"/>
        </w:numPr>
        <w:tabs>
          <w:tab w:val="left" w:leader="none" w:pos="852"/>
        </w:tabs>
        <w:ind w:left="270" w:hanging="360"/>
        <w:jc w:val="both"/>
        <w:rPr>
          <w:rFonts w:ascii="Calibri" w:cs="Calibri" w:eastAsia="Calibri" w:hAnsi="Calibri"/>
          <w:u w:val="none"/>
        </w:rPr>
      </w:pPr>
      <w:r w:rsidDel="00000000" w:rsidR="00000000" w:rsidRPr="00000000">
        <w:rPr>
          <w:rFonts w:ascii="Calibri" w:cs="Calibri" w:eastAsia="Calibri" w:hAnsi="Calibri"/>
          <w:rtl w:val="0"/>
        </w:rPr>
        <w:t xml:space="preserve">celkové výši nájemného s přihlédnutím k předpokládaným nákladům podle zásad upravených stanovami družstva, dalšími předpisy družstva a příslušnými právními předpisy.</w:t>
      </w:r>
    </w:p>
    <w:p w:rsidR="00000000" w:rsidDel="00000000" w:rsidP="00000000" w:rsidRDefault="00000000" w:rsidRPr="00000000" w14:paraId="00000048">
      <w:pPr>
        <w:numPr>
          <w:ilvl w:val="0"/>
          <w:numId w:val="10"/>
        </w:numPr>
        <w:tabs>
          <w:tab w:val="left" w:leader="none" w:pos="852"/>
        </w:tabs>
        <w:ind w:left="270" w:hanging="360"/>
        <w:jc w:val="both"/>
        <w:rPr>
          <w:rFonts w:ascii="Calibri" w:cs="Calibri" w:eastAsia="Calibri" w:hAnsi="Calibri"/>
          <w:u w:val="none"/>
        </w:rPr>
      </w:pPr>
      <w:r w:rsidDel="00000000" w:rsidR="00000000" w:rsidRPr="00000000">
        <w:rPr>
          <w:rFonts w:ascii="Calibri" w:cs="Calibri" w:eastAsia="Calibri" w:hAnsi="Calibri"/>
          <w:rtl w:val="0"/>
        </w:rPr>
        <w:t xml:space="preserve">rozsahu poskytovaných služeb a měsíční výši záloh na tyto služby. Není-li přijato rozhodnutí družstva, určí družstvo nájemci výši měsíční zálohy za jednotlivé služby jako měsíční podíl z předpokládaných ročních nákladů na služby z uplynulého roku, nebo podle posledního zúčtovacího období, anebo z nákladů odvozených z předpokládaných cen běžného roku;</w:t>
      </w:r>
    </w:p>
    <w:p w:rsidR="00000000" w:rsidDel="00000000" w:rsidP="00000000" w:rsidRDefault="00000000" w:rsidRPr="00000000" w14:paraId="00000049">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tabs>
          <w:tab w:val="left" w:leader="none" w:pos="84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2. Družstvo má právo změnit v průběhu roku výši měsíčního nájemného v závislosti na předpokládaných nákladech na správu družstevních bytů. Družstvo je povinno informovat o tom nájemce alespoň 1 měsíc předem. Nájemce je povinen hradit upravenou výši plateb počínaje druhým kalendářním měsícem po doručení oznámení.</w:t>
      </w:r>
    </w:p>
    <w:p w:rsidR="00000000" w:rsidDel="00000000" w:rsidP="00000000" w:rsidRDefault="00000000" w:rsidRPr="00000000" w14:paraId="0000004B">
      <w:pPr>
        <w:tabs>
          <w:tab w:val="left" w:leader="none" w:pos="84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tabs>
          <w:tab w:val="left" w:leader="none" w:pos="84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3. Družstvo má právo změnit v průběhu roku výši měsíční zálohy na služby v míře odpovídající změně ceny služby nebo z dalších oprávněných důvodů, zejména po změně rozsahu nebo kvality služby. Změněná měsíční záloha může být požadována nejdříve od prvního dne měsíce následujícího po doručení písemného oznámení nové výše zálohy. Změna výše měsíční zálohy musí být v oznámení řádně odůvodněna.</w:t>
      </w:r>
    </w:p>
    <w:p w:rsidR="00000000" w:rsidDel="00000000" w:rsidP="00000000" w:rsidRDefault="00000000" w:rsidRPr="00000000" w14:paraId="0000004D">
      <w:pPr>
        <w:tabs>
          <w:tab w:val="left" w:leader="none" w:pos="85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VI.</w:t>
      </w:r>
    </w:p>
    <w:p w:rsidR="00000000" w:rsidDel="00000000" w:rsidP="00000000" w:rsidRDefault="00000000" w:rsidRPr="00000000" w14:paraId="00000051">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Sankce</w:t>
      </w:r>
    </w:p>
    <w:p w:rsidR="00000000" w:rsidDel="00000000" w:rsidP="00000000" w:rsidRDefault="00000000" w:rsidRPr="00000000" w14:paraId="00000052">
      <w:pPr>
        <w:tabs>
          <w:tab w:val="left" w:leader="none" w:pos="84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tabs>
          <w:tab w:val="left" w:leader="none" w:pos="84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1.</w:t>
        <w:tab/>
        <w:t xml:space="preserve">V případě prodlení s peněžitým plněním, které spočívá v placení nájemného, záloh na služby spojené s užíváním bytu nebo ve finančním vyrovnání z vyúčtování služeb, které přesahuje 5 dnů ode dne jeho splatnosti, je smluvní strana povinna uhradit druhé smluvní straně poplatek z prodlení ve výši 1 promile dlužné částky denně, nejméně však 400,- Kč za každý, i započatý měsíc prodlení. To neplatí, pokud byl poplatek uplatněn podle jiného právního předpisu.</w:t>
      </w:r>
    </w:p>
    <w:p w:rsidR="00000000" w:rsidDel="00000000" w:rsidP="00000000" w:rsidRDefault="00000000" w:rsidRPr="00000000" w14:paraId="00000054">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VII.</w:t>
      </w:r>
    </w:p>
    <w:p w:rsidR="00000000" w:rsidDel="00000000" w:rsidP="00000000" w:rsidRDefault="00000000" w:rsidRPr="00000000" w14:paraId="00000056">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 Práva a povinnosti družstva</w:t>
      </w:r>
    </w:p>
    <w:p w:rsidR="00000000" w:rsidDel="00000000" w:rsidP="00000000" w:rsidRDefault="00000000" w:rsidRPr="00000000" w14:paraId="00000057">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tabs>
          <w:tab w:val="left" w:leader="none" w:pos="42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1.</w:t>
        <w:tab/>
        <w:t xml:space="preserve">Družstvo je oprávněno:</w:t>
      </w:r>
    </w:p>
    <w:p w:rsidR="00000000" w:rsidDel="00000000" w:rsidP="00000000" w:rsidRDefault="00000000" w:rsidRPr="00000000" w14:paraId="00000059">
      <w:pPr>
        <w:numPr>
          <w:ilvl w:val="0"/>
          <w:numId w:val="11"/>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vydat Domovní řád, který upraví podrobnosti užívání bytů, nebytových prostor a společných částí domu; domovní řád je pro nájemce závazný okamžikem jeho vyvěšení na informační desce v domě; </w:t>
      </w:r>
    </w:p>
    <w:p w:rsidR="00000000" w:rsidDel="00000000" w:rsidP="00000000" w:rsidRDefault="00000000" w:rsidRPr="00000000" w14:paraId="0000005A">
      <w:pPr>
        <w:numPr>
          <w:ilvl w:val="0"/>
          <w:numId w:val="11"/>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vymezit z technických nebo estetických důvodů pravidla pro provádění oprav a běžné údržby bytu, k nimž je podle čl. VIII., odst. 2, písm. e) této smlouvy povinen nájemce;</w:t>
      </w:r>
    </w:p>
    <w:p w:rsidR="00000000" w:rsidDel="00000000" w:rsidP="00000000" w:rsidRDefault="00000000" w:rsidRPr="00000000" w14:paraId="0000005B">
      <w:pPr>
        <w:numPr>
          <w:ilvl w:val="0"/>
          <w:numId w:val="11"/>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provést po předchozím upozornění nájemce opravy a běžnou údržbu bytu, k níž je povinen nájemce podle čl. VIII., odst. 2, písm. e) této smlouvy. Družstvo je po provedení opravy nebo běžné údržby bytu podle tohoto ustanovení oprávněno požadovat od nájemce zaplacení náhrady.</w:t>
      </w:r>
    </w:p>
    <w:p w:rsidR="00000000" w:rsidDel="00000000" w:rsidP="00000000" w:rsidRDefault="00000000" w:rsidRPr="00000000" w14:paraId="0000005C">
      <w:pPr>
        <w:numPr>
          <w:ilvl w:val="0"/>
          <w:numId w:val="11"/>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odstranit závady a poškození, které na domě způsobil nájemce nebo ti, kdo s ním bydlí, pokud tuto škodu ani po předchozím upozornění družstva nájemce neodstraní, a požadovat od nájemce náhradu;</w:t>
      </w:r>
    </w:p>
    <w:p w:rsidR="00000000" w:rsidDel="00000000" w:rsidP="00000000" w:rsidRDefault="00000000" w:rsidRPr="00000000" w14:paraId="0000005D">
      <w:pPr>
        <w:numPr>
          <w:ilvl w:val="0"/>
          <w:numId w:val="11"/>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požadovat po nájemci, aby bez zbytečného odkladu odstranil stavební úpravy a jiné podstatné změny v bytě, které nájemce provedl bez předchozího písemného souhlasu družstva;</w:t>
      </w:r>
    </w:p>
    <w:p w:rsidR="00000000" w:rsidDel="00000000" w:rsidP="00000000" w:rsidRDefault="00000000" w:rsidRPr="00000000" w14:paraId="0000005E">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tabs>
          <w:tab w:val="left" w:leader="none" w:pos="42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2.</w:t>
        <w:tab/>
        <w:t xml:space="preserve">Družstvo je povinno:</w:t>
      </w:r>
    </w:p>
    <w:p w:rsidR="00000000" w:rsidDel="00000000" w:rsidP="00000000" w:rsidRDefault="00000000" w:rsidRPr="00000000" w14:paraId="00000060">
      <w:pPr>
        <w:numPr>
          <w:ilvl w:val="0"/>
          <w:numId w:val="3"/>
        </w:numPr>
        <w:tabs>
          <w:tab w:val="left" w:leader="none" w:pos="426"/>
          <w:tab w:val="left" w:leader="none" w:pos="851"/>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přenechat a udržovat byt ve stavu způsobilém k řádnému užívání; a</w:t>
      </w:r>
    </w:p>
    <w:p w:rsidR="00000000" w:rsidDel="00000000" w:rsidP="00000000" w:rsidRDefault="00000000" w:rsidRPr="00000000" w14:paraId="00000061">
      <w:pPr>
        <w:numPr>
          <w:ilvl w:val="0"/>
          <w:numId w:val="3"/>
        </w:numPr>
        <w:tabs>
          <w:tab w:val="left" w:leader="none" w:pos="426"/>
          <w:tab w:val="left" w:leader="none" w:pos="851"/>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provádět a hradit veškeré opravy vyjma údržby a oprav bytu, které je podle stanov    družstva a zákona povinen hradit nájemce, pokud se družstvo s nájemcem nedohodne jinak. </w:t>
      </w:r>
    </w:p>
    <w:p w:rsidR="00000000" w:rsidDel="00000000" w:rsidP="00000000" w:rsidRDefault="00000000" w:rsidRPr="00000000" w14:paraId="00000062">
      <w:pPr>
        <w:tabs>
          <w:tab w:val="left" w:leader="none" w:pos="1277"/>
          <w:tab w:val="left" w:leader="none" w:pos="170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tabs>
          <w:tab w:val="left" w:leader="none" w:pos="1277"/>
          <w:tab w:val="left" w:leader="none" w:pos="170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VIII.</w:t>
      </w:r>
    </w:p>
    <w:p w:rsidR="00000000" w:rsidDel="00000000" w:rsidP="00000000" w:rsidRDefault="00000000" w:rsidRPr="00000000" w14:paraId="00000065">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 Práva a povinnosti nájemce</w:t>
      </w:r>
    </w:p>
    <w:p w:rsidR="00000000" w:rsidDel="00000000" w:rsidP="00000000" w:rsidRDefault="00000000" w:rsidRPr="00000000" w14:paraId="00000066">
      <w:pPr>
        <w:tabs>
          <w:tab w:val="left" w:leader="none" w:pos="1277"/>
          <w:tab w:val="left" w:leader="none" w:pos="1702"/>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tabs>
          <w:tab w:val="left" w:leader="none" w:pos="42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1.</w:t>
        <w:tab/>
        <w:t xml:space="preserve">Nájemce je oprávněn:</w:t>
      </w:r>
    </w:p>
    <w:p w:rsidR="00000000" w:rsidDel="00000000" w:rsidP="00000000" w:rsidRDefault="00000000" w:rsidRPr="00000000" w14:paraId="00000068">
      <w:pPr>
        <w:numPr>
          <w:ilvl w:val="0"/>
          <w:numId w:val="12"/>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v případě, že družstvo nesplní svoji povinnost, odstranit závady, které brání řádnému užívání bytu, nebo jimiž je výkon práva nájemce ohrožen, a to ani v dodatečné lhůtě uvedené v písemném oznámení nájemce, je nájemce oprávněn tyto závady v nezbytné míře odstranit a požadovat po družstvu náhradu účelně vynaložených nákladů. Toto právo musí uplatnit u družstva bez zbytečného odkladu, nejpozději však do 6 měsíců od odstranění závad. Jinak právo na náhradu nákladů nájemci zanikne;</w:t>
      </w:r>
    </w:p>
    <w:p w:rsidR="00000000" w:rsidDel="00000000" w:rsidP="00000000" w:rsidRDefault="00000000" w:rsidRPr="00000000" w14:paraId="00000069">
      <w:pPr>
        <w:numPr>
          <w:ilvl w:val="0"/>
          <w:numId w:val="12"/>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provádět stavební úpravy bytu nebo jinou podstatnou změnu bytu jen s předchozím písemným souhlasem družstva, totéž platí i o  společných částech domu; </w:t>
      </w:r>
    </w:p>
    <w:p w:rsidR="00000000" w:rsidDel="00000000" w:rsidP="00000000" w:rsidRDefault="00000000" w:rsidRPr="00000000" w14:paraId="0000006A">
      <w:pPr>
        <w:numPr>
          <w:ilvl w:val="0"/>
          <w:numId w:val="12"/>
        </w:numPr>
        <w:tabs>
          <w:tab w:val="left" w:leader="none" w:pos="1277"/>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požadovat přiměřenou slevu na nájemném za podmínek určených stanovami družstva. Toto právo zanikne, nebylo-li uplatněno do šesti měsíců ode dne, kdy člen – nájemce vadu zjistil nebo mohl zjistit.</w:t>
      </w:r>
    </w:p>
    <w:p w:rsidR="00000000" w:rsidDel="00000000" w:rsidP="00000000" w:rsidRDefault="00000000" w:rsidRPr="00000000" w14:paraId="0000006B">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tabs>
          <w:tab w:val="left" w:leader="none" w:pos="426"/>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2.</w:t>
        <w:tab/>
        <w:t xml:space="preserve">Nájemce je povinen:</w:t>
      </w:r>
    </w:p>
    <w:p w:rsidR="00000000" w:rsidDel="00000000" w:rsidP="00000000" w:rsidRDefault="00000000" w:rsidRPr="00000000" w14:paraId="0000006D">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užívat byt pouze v souladu s jeho účelem, tj. k bydlení;</w:t>
      </w:r>
    </w:p>
    <w:p w:rsidR="00000000" w:rsidDel="00000000" w:rsidP="00000000" w:rsidRDefault="00000000" w:rsidRPr="00000000" w14:paraId="0000006E">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hradit řádně a včas nájemné a úhrady za služby poskytované s užíváním bytu;</w:t>
      </w:r>
    </w:p>
    <w:p w:rsidR="00000000" w:rsidDel="00000000" w:rsidP="00000000" w:rsidRDefault="00000000" w:rsidRPr="00000000" w14:paraId="0000006F">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užívat byt, společné prostory domu i společná zařízení obvyklým a přiměřeným způsobem a při výkonu svých práv dbát, aby byla zajištěna práva ostatních bydlících osob v domě;</w:t>
      </w:r>
    </w:p>
    <w:p w:rsidR="00000000" w:rsidDel="00000000" w:rsidP="00000000" w:rsidRDefault="00000000" w:rsidRPr="00000000" w14:paraId="00000070">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přenechat byt nebo jeho část do užívání třetí osobě pouze s předchozím písemným souhlasem družstva; toto omezení se nevztahuje na členy nájemcovy domácnosti, kterými jsou příbuzní v řadě přímé, zeť, snacha a osoby nájemcovy blízké. Zároveň je povinen zajistit, aby v bytě bydlel jen takový počet osob, který je přiměřený velikosti bytu a nebrání tomu, aby mohly všechny osoby v bytě žít v obvyklých pohodlných podmínkách;</w:t>
      </w:r>
    </w:p>
    <w:p w:rsidR="00000000" w:rsidDel="00000000" w:rsidP="00000000" w:rsidRDefault="00000000" w:rsidRPr="00000000" w14:paraId="00000071">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provádět a hradit veškeré opravy a běžnou údržbu v bytě, s výjimkou oprav a údržby, k nimž je povinno družstvo podle čl. VII., odst. 2;</w:t>
      </w:r>
    </w:p>
    <w:p w:rsidR="00000000" w:rsidDel="00000000" w:rsidP="00000000" w:rsidRDefault="00000000" w:rsidRPr="00000000" w14:paraId="00000072">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provádět na svůj náklad výměnu vybavení a zařízení bytu;</w:t>
      </w:r>
    </w:p>
    <w:p w:rsidR="00000000" w:rsidDel="00000000" w:rsidP="00000000" w:rsidRDefault="00000000" w:rsidRPr="00000000" w14:paraId="00000073">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oznamovat bez zbytečného odkladu družstvu potřebu těch oprav v bytě, které má nést družstvo, a umožnit jejich provedení, jinak odpovídá za škodu, která nesplněním této povinnosti vznikla;</w:t>
      </w:r>
    </w:p>
    <w:p w:rsidR="00000000" w:rsidDel="00000000" w:rsidP="00000000" w:rsidRDefault="00000000" w:rsidRPr="00000000" w14:paraId="00000074">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oznámit bez zbytečného odkladu a písemně družstvu závadu, která podstatně nebo po delší dobu zhoršuje užívání bytu nebo domu;</w:t>
      </w:r>
    </w:p>
    <w:p w:rsidR="00000000" w:rsidDel="00000000" w:rsidP="00000000" w:rsidRDefault="00000000" w:rsidRPr="00000000" w14:paraId="00000075">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písemně oznamovat do 15 dnů každou změnu počtu osob užívajících byt;</w:t>
      </w:r>
    </w:p>
    <w:p w:rsidR="00000000" w:rsidDel="00000000" w:rsidP="00000000" w:rsidRDefault="00000000" w:rsidRPr="00000000" w14:paraId="00000076">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dbát na to, aby na bytě, na bytech nebo nebytových prostorách užívaných jinými osobami, na společných částech domu nebo zařízeních nevznikla škoda;</w:t>
      </w:r>
    </w:p>
    <w:p w:rsidR="00000000" w:rsidDel="00000000" w:rsidP="00000000" w:rsidRDefault="00000000" w:rsidRPr="00000000" w14:paraId="00000077">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odstranit závady a poškození, které způsobil v domě sám nebo ti, kdo s ním bydlí; </w:t>
      </w:r>
    </w:p>
    <w:p w:rsidR="00000000" w:rsidDel="00000000" w:rsidP="00000000" w:rsidRDefault="00000000" w:rsidRPr="00000000" w14:paraId="00000078">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nahradit družstvu zvýšené náklady na údržbu společných částí domu, pokud tyto zvýšené náklady vyvolá chov zvířete nájemcem v bytě; </w:t>
      </w:r>
    </w:p>
    <w:p w:rsidR="00000000" w:rsidDel="00000000" w:rsidP="00000000" w:rsidRDefault="00000000" w:rsidRPr="00000000" w14:paraId="00000079">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umožnit po předchozí písemné výzvě družstvu a osobě/osobám, kterou/které tím družstvo pověří, přístup do bytu za účelem:</w:t>
      </w:r>
    </w:p>
    <w:p w:rsidR="00000000" w:rsidDel="00000000" w:rsidP="00000000" w:rsidRDefault="00000000" w:rsidRPr="00000000" w14:paraId="0000007A">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zajištění řádné údržby bytu;</w:t>
      </w:r>
    </w:p>
    <w:p w:rsidR="00000000" w:rsidDel="00000000" w:rsidP="00000000" w:rsidRDefault="00000000" w:rsidRPr="00000000" w14:paraId="0000007B">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vyžadují-li to nezbytně úpravy, provoz a opravy ostatních bytů, nebytových prostorů nebo domu jako celku;</w:t>
      </w:r>
    </w:p>
    <w:p w:rsidR="00000000" w:rsidDel="00000000" w:rsidP="00000000" w:rsidRDefault="00000000" w:rsidRPr="00000000" w14:paraId="0000007C">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provedení kontroly stavu bytu rozsahu podle zákona; </w:t>
      </w:r>
    </w:p>
    <w:p w:rsidR="00000000" w:rsidDel="00000000" w:rsidP="00000000" w:rsidRDefault="00000000" w:rsidRPr="00000000" w14:paraId="0000007D">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provedení udržovacích prací, rekonstrukcí a oprav realizovaných přímo družstvem;</w:t>
      </w:r>
    </w:p>
    <w:p w:rsidR="00000000" w:rsidDel="00000000" w:rsidP="00000000" w:rsidRDefault="00000000" w:rsidRPr="00000000" w14:paraId="0000007E">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instalace a údržby zařízení pro měření a regulaci tepla, teplé a studené vody; </w:t>
      </w:r>
    </w:p>
    <w:p w:rsidR="00000000" w:rsidDel="00000000" w:rsidP="00000000" w:rsidRDefault="00000000" w:rsidRPr="00000000" w14:paraId="0000007F">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odečtu naměřených hodnot na zařízeních pro měření a regulaci tepla, teplé a studené vody; nebo</w:t>
      </w:r>
    </w:p>
    <w:p w:rsidR="00000000" w:rsidDel="00000000" w:rsidP="00000000" w:rsidRDefault="00000000" w:rsidRPr="00000000" w14:paraId="00000080">
      <w:pPr>
        <w:numPr>
          <w:ilvl w:val="1"/>
          <w:numId w:val="1"/>
        </w:numPr>
        <w:tabs>
          <w:tab w:val="left" w:leader="none" w:pos="1985"/>
        </w:tabs>
        <w:ind w:left="990" w:hanging="360"/>
        <w:jc w:val="both"/>
        <w:rPr>
          <w:rFonts w:ascii="Calibri" w:cs="Calibri" w:eastAsia="Calibri" w:hAnsi="Calibri"/>
        </w:rPr>
      </w:pPr>
      <w:r w:rsidDel="00000000" w:rsidR="00000000" w:rsidRPr="00000000">
        <w:rPr>
          <w:rFonts w:ascii="Calibri" w:cs="Calibri" w:eastAsia="Calibri" w:hAnsi="Calibri"/>
          <w:rtl w:val="0"/>
        </w:rPr>
        <w:t xml:space="preserve">instalace, údržby, oprav a kontroly dalších technických zařízení, pokud jsou součástí bytu a patří družstvu. </w:t>
      </w:r>
    </w:p>
    <w:p w:rsidR="00000000" w:rsidDel="00000000" w:rsidP="00000000" w:rsidRDefault="00000000" w:rsidRPr="00000000" w14:paraId="00000081">
      <w:p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ab/>
        <w:t xml:space="preserve">Předchozí výzva se nevyžaduje, je-li nezbytné zabránit škodě nebo hrozí-li nebezpečí z prodlení;</w:t>
      </w:r>
    </w:p>
    <w:p w:rsidR="00000000" w:rsidDel="00000000" w:rsidP="00000000" w:rsidRDefault="00000000" w:rsidRPr="00000000" w14:paraId="00000082">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plnit povinnosti stanovené touto smlouvou a stanovami družstva a dodržovat pravidla stanovená v Domovním řádu.</w:t>
      </w:r>
    </w:p>
    <w:p w:rsidR="00000000" w:rsidDel="00000000" w:rsidP="00000000" w:rsidRDefault="00000000" w:rsidRPr="00000000" w14:paraId="00000083">
      <w:pPr>
        <w:numPr>
          <w:ilvl w:val="0"/>
          <w:numId w:val="1"/>
        </w:numPr>
        <w:tabs>
          <w:tab w:val="left" w:leader="none" w:pos="1702"/>
        </w:tabs>
        <w:ind w:left="270" w:hanging="360"/>
        <w:jc w:val="both"/>
        <w:rPr>
          <w:rFonts w:ascii="Calibri" w:cs="Calibri" w:eastAsia="Calibri" w:hAnsi="Calibri"/>
        </w:rPr>
      </w:pPr>
      <w:r w:rsidDel="00000000" w:rsidR="00000000" w:rsidRPr="00000000">
        <w:rPr>
          <w:rFonts w:ascii="Calibri" w:cs="Calibri" w:eastAsia="Calibri" w:hAnsi="Calibri"/>
          <w:rtl w:val="0"/>
        </w:rPr>
        <w:t xml:space="preserve">oznámit včas družstvu svoji nepřítomnost, která má být delší než 2 měsíce, nebo pokud bude po tuto dobu obtížně dostupný. Současně označí osobu, která po dobu jeho nepřítomnosti zajistí možnost vstupu do bytu v případě, kdy toho bude nezbytně zapotřebí. Neurčí-li nájemce takovou osobu, je takovou osobou družstvo.</w:t>
      </w:r>
    </w:p>
    <w:p w:rsidR="00000000" w:rsidDel="00000000" w:rsidP="00000000" w:rsidRDefault="00000000" w:rsidRPr="00000000" w14:paraId="00000084">
      <w:pPr>
        <w:tabs>
          <w:tab w:val="left" w:leader="none" w:pos="851"/>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tabs>
          <w:tab w:val="left" w:leader="none" w:pos="426"/>
        </w:tabs>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86">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IX.</w:t>
      </w:r>
    </w:p>
    <w:p w:rsidR="00000000" w:rsidDel="00000000" w:rsidP="00000000" w:rsidRDefault="00000000" w:rsidRPr="00000000" w14:paraId="00000087">
      <w:pPr>
        <w:tabs>
          <w:tab w:val="left" w:leader="none" w:pos="426"/>
        </w:tabs>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Skončení nájmu</w:t>
      </w:r>
    </w:p>
    <w:p w:rsidR="00000000" w:rsidDel="00000000" w:rsidP="00000000" w:rsidRDefault="00000000" w:rsidRPr="00000000" w14:paraId="00000088">
      <w:pPr>
        <w:tabs>
          <w:tab w:val="left" w:leader="none" w:pos="426"/>
        </w:tabs>
        <w:ind w:left="270" w:hanging="36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89">
      <w:pPr>
        <w:numPr>
          <w:ilvl w:val="0"/>
          <w:numId w:val="8"/>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Nájem družstevního bytu zaniká:</w:t>
      </w:r>
    </w:p>
    <w:p w:rsidR="00000000" w:rsidDel="00000000" w:rsidP="00000000" w:rsidRDefault="00000000" w:rsidRPr="00000000" w14:paraId="0000008A">
      <w:pPr>
        <w:numPr>
          <w:ilvl w:val="1"/>
          <w:numId w:val="2"/>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zánikem členství nájemce v družstvu;</w:t>
      </w:r>
    </w:p>
    <w:p w:rsidR="00000000" w:rsidDel="00000000" w:rsidP="00000000" w:rsidRDefault="00000000" w:rsidRPr="00000000" w14:paraId="0000008B">
      <w:pPr>
        <w:numPr>
          <w:ilvl w:val="1"/>
          <w:numId w:val="2"/>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písemnou dohodou mezi družstvem a nájemcem ke dni stanoveném v dohodě;</w:t>
      </w:r>
    </w:p>
    <w:p w:rsidR="00000000" w:rsidDel="00000000" w:rsidP="00000000" w:rsidRDefault="00000000" w:rsidRPr="00000000" w14:paraId="0000008C">
      <w:pPr>
        <w:numPr>
          <w:ilvl w:val="1"/>
          <w:numId w:val="2"/>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jiným způsobem v souladu s platnými stanovami družstva.</w:t>
      </w:r>
    </w:p>
    <w:p w:rsidR="00000000" w:rsidDel="00000000" w:rsidP="00000000" w:rsidRDefault="00000000" w:rsidRPr="00000000" w14:paraId="0000008D">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8E">
      <w:pPr>
        <w:numPr>
          <w:ilvl w:val="0"/>
          <w:numId w:val="5"/>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Nájemce, jemuž zanikl nájem družstevního bytu, je povinen byt vyklidit, bez nároku na jakoukoliv bytovou náhradu.</w:t>
      </w:r>
    </w:p>
    <w:p w:rsidR="00000000" w:rsidDel="00000000" w:rsidP="00000000" w:rsidRDefault="00000000" w:rsidRPr="00000000" w14:paraId="0000008F">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0">
      <w:pPr>
        <w:numPr>
          <w:ilvl w:val="0"/>
          <w:numId w:val="5"/>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V případě, že členství nájemce v družstvu skončí převodem družstevního podílu, je nájemce povinen předat byt nabyvateli družstevního podílu. </w:t>
      </w:r>
    </w:p>
    <w:p w:rsidR="00000000" w:rsidDel="00000000" w:rsidP="00000000" w:rsidRDefault="00000000" w:rsidRPr="00000000" w14:paraId="00000091">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2">
      <w:pPr>
        <w:numPr>
          <w:ilvl w:val="0"/>
          <w:numId w:val="5"/>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V případě, že členství nájemce skončí z jiného právního důvodu, např. dohodou, vystoupením nebo vyloučením, odevzdá nájemce byt družstvu v den, kdy jeho členství končí. </w:t>
      </w:r>
    </w:p>
    <w:p w:rsidR="00000000" w:rsidDel="00000000" w:rsidP="00000000" w:rsidRDefault="00000000" w:rsidRPr="00000000" w14:paraId="00000093">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4">
      <w:pPr>
        <w:numPr>
          <w:ilvl w:val="0"/>
          <w:numId w:val="5"/>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Byt je považován za odevzdaný, obdrží-li družstvo klíče a jinak mu nic nebrání v přístupu do bytu a v jeho užívání. Nájemce je povinen odevzdat byt ve stavu, v němž jej převzal, odstranit v bytě změny, které provedl bez souhlasu družstva, pokud nesdělí družstvo nájemci, že odstranění změn nežádá. Změny provedené se souhlasem družstva odstraní nájemce, pokud si strany ujednaly, že při skončení nájmu nájemce uvede byt do původního stavu. Zařízení a předměty upevněné na zdech, podlaze a stropu bytu, které nelze odstranit bez nepřiměřeného snížení hodnoty nebo poškození bytu, nebo domu, přecházejí upevněním do vlastnictví družstva.</w:t>
      </w:r>
    </w:p>
    <w:p w:rsidR="00000000" w:rsidDel="00000000" w:rsidP="00000000" w:rsidRDefault="00000000" w:rsidRPr="00000000" w14:paraId="00000095">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6">
      <w:pPr>
        <w:numPr>
          <w:ilvl w:val="0"/>
          <w:numId w:val="5"/>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Nedojde-li k vyklizení bytu, je jeho další užívání přípustné pouze na základě písemné nájemní smlouvy s družstvem. </w:t>
      </w:r>
    </w:p>
    <w:p w:rsidR="00000000" w:rsidDel="00000000" w:rsidP="00000000" w:rsidRDefault="00000000" w:rsidRPr="00000000" w14:paraId="00000097">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8">
      <w:pPr>
        <w:numPr>
          <w:ilvl w:val="0"/>
          <w:numId w:val="5"/>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Nájem bytu se nikdy neobnovuje ani nevzniká automaticky, a to ani v případech, kdy nájemce užívá byt v dobré víře, že je nájem po právu, nebo pokud nájemce po zániku nájmu užívá byt i nadále a družstvo ho nevyzve k odevzdání bytu. </w:t>
      </w:r>
    </w:p>
    <w:p w:rsidR="00000000" w:rsidDel="00000000" w:rsidP="00000000" w:rsidRDefault="00000000" w:rsidRPr="00000000" w14:paraId="00000099">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A">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B">
      <w:pPr>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X.</w:t>
      </w:r>
    </w:p>
    <w:p w:rsidR="00000000" w:rsidDel="00000000" w:rsidP="00000000" w:rsidRDefault="00000000" w:rsidRPr="00000000" w14:paraId="0000009C">
      <w:pPr>
        <w:ind w:left="270" w:hanging="360"/>
        <w:jc w:val="both"/>
        <w:rPr>
          <w:rFonts w:ascii="Calibri" w:cs="Calibri" w:eastAsia="Calibri" w:hAnsi="Calibri"/>
          <w:b w:val="1"/>
        </w:rPr>
      </w:pPr>
      <w:r w:rsidDel="00000000" w:rsidR="00000000" w:rsidRPr="00000000">
        <w:rPr>
          <w:rFonts w:ascii="Calibri" w:cs="Calibri" w:eastAsia="Calibri" w:hAnsi="Calibri"/>
          <w:b w:val="1"/>
          <w:rtl w:val="0"/>
        </w:rPr>
        <w:t xml:space="preserve">Závěrečná ustanovení</w:t>
      </w:r>
    </w:p>
    <w:p w:rsidR="00000000" w:rsidDel="00000000" w:rsidP="00000000" w:rsidRDefault="00000000" w:rsidRPr="00000000" w14:paraId="0000009D">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9E">
      <w:pPr>
        <w:numPr>
          <w:ilvl w:val="0"/>
          <w:numId w:val="7"/>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Práva a povinnosti mezi družstvem a členem neupravená touto smlouvou se řídí stanovami družstva, zákonem o obchodních korporacích, občanským zákoníkem a souvisejícími předpisy.</w:t>
      </w:r>
    </w:p>
    <w:p w:rsidR="00000000" w:rsidDel="00000000" w:rsidP="00000000" w:rsidRDefault="00000000" w:rsidRPr="00000000" w14:paraId="0000009F">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0">
      <w:pPr>
        <w:numPr>
          <w:ilvl w:val="0"/>
          <w:numId w:val="7"/>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Tato smlouva se vyhotovuje ve 2 stejnopisech, z nichž každá smluvní strana obdrží po jednom. </w:t>
      </w:r>
    </w:p>
    <w:p w:rsidR="00000000" w:rsidDel="00000000" w:rsidP="00000000" w:rsidRDefault="00000000" w:rsidRPr="00000000" w14:paraId="000000A1">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2">
      <w:pPr>
        <w:numPr>
          <w:ilvl w:val="0"/>
          <w:numId w:val="7"/>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Veškeré změny nebo doplňky k této smlouvě mohou být prováděny jen písemnou formou.</w:t>
      </w:r>
    </w:p>
    <w:p w:rsidR="00000000" w:rsidDel="00000000" w:rsidP="00000000" w:rsidRDefault="00000000" w:rsidRPr="00000000" w14:paraId="000000A3">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4">
      <w:pPr>
        <w:numPr>
          <w:ilvl w:val="0"/>
          <w:numId w:val="7"/>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Smluvní strany si smlouvu přečetly a s jejím obsahem souhlasí. Potvrzují, že si mezi sebou ujednaly všechny náležitosti, které považují za nezbytné pro uzavření této smlouvy. Na důkaz toho připojují ke smlouvě své podpisy.</w:t>
      </w:r>
    </w:p>
    <w:p w:rsidR="00000000" w:rsidDel="00000000" w:rsidP="00000000" w:rsidRDefault="00000000" w:rsidRPr="00000000" w14:paraId="000000A5">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6">
      <w:pPr>
        <w:numPr>
          <w:ilvl w:val="0"/>
          <w:numId w:val="7"/>
        </w:numPr>
        <w:ind w:left="270" w:hanging="360"/>
        <w:jc w:val="both"/>
        <w:rPr>
          <w:rFonts w:ascii="Calibri" w:cs="Calibri" w:eastAsia="Calibri" w:hAnsi="Calibri"/>
        </w:rPr>
      </w:pPr>
      <w:r w:rsidDel="00000000" w:rsidR="00000000" w:rsidRPr="00000000">
        <w:rPr>
          <w:rFonts w:ascii="Calibri" w:cs="Calibri" w:eastAsia="Calibri" w:hAnsi="Calibri"/>
          <w:rtl w:val="0"/>
        </w:rPr>
        <w:t xml:space="preserve">Tato smlouva nahrazuje veškerá dosavadní ujednání mezi družstvem a členem ohledně užívání bytu, včetně veškerých ujednání mezi družstvem a právním předchůdcem člena. </w:t>
      </w:r>
    </w:p>
    <w:p w:rsidR="00000000" w:rsidDel="00000000" w:rsidP="00000000" w:rsidRDefault="00000000" w:rsidRPr="00000000" w14:paraId="000000A7">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8">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9">
      <w:pPr>
        <w:ind w:left="270" w:hanging="360"/>
        <w:jc w:val="both"/>
        <w:rPr>
          <w:rFonts w:ascii="Calibri" w:cs="Calibri" w:eastAsia="Calibri" w:hAnsi="Calibri"/>
        </w:rPr>
      </w:pPr>
      <w:r w:rsidDel="00000000" w:rsidR="00000000" w:rsidRPr="00000000">
        <w:rPr>
          <w:rFonts w:ascii="Calibri" w:cs="Calibri" w:eastAsia="Calibri" w:hAnsi="Calibri"/>
          <w:rtl w:val="0"/>
        </w:rPr>
        <w:t xml:space="preserve">V Praze dne </w:t>
        <w:tab/>
        <w:tab/>
        <w:tab/>
        <w:t xml:space="preserve">              V Praze dne </w:t>
      </w:r>
    </w:p>
    <w:p w:rsidR="00000000" w:rsidDel="00000000" w:rsidP="00000000" w:rsidRDefault="00000000" w:rsidRPr="00000000" w14:paraId="000000AA">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B">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C">
      <w:pPr>
        <w:ind w:left="270" w:hanging="360"/>
        <w:jc w:val="both"/>
        <w:rPr>
          <w:rFonts w:ascii="Calibri" w:cs="Calibri" w:eastAsia="Calibri" w:hAnsi="Calibri"/>
        </w:rPr>
      </w:pPr>
      <w:r w:rsidDel="00000000" w:rsidR="00000000" w:rsidRPr="00000000">
        <w:rPr>
          <w:rFonts w:ascii="Calibri" w:cs="Calibri" w:eastAsia="Calibri" w:hAnsi="Calibri"/>
          <w:rtl w:val="0"/>
        </w:rPr>
        <w:t xml:space="preserve">………………………………..</w:t>
        <w:tab/>
        <w:tab/>
        <w:tab/>
        <w:tab/>
        <w:t xml:space="preserve">………………………………..</w:t>
      </w:r>
    </w:p>
    <w:p w:rsidR="00000000" w:rsidDel="00000000" w:rsidP="00000000" w:rsidRDefault="00000000" w:rsidRPr="00000000" w14:paraId="000000AD">
      <w:pPr>
        <w:ind w:left="270" w:hanging="360"/>
        <w:jc w:val="both"/>
        <w:rPr>
          <w:rFonts w:ascii="Calibri" w:cs="Calibri" w:eastAsia="Calibri" w:hAnsi="Calibri"/>
        </w:rPr>
      </w:pPr>
      <w:r w:rsidDel="00000000" w:rsidR="00000000" w:rsidRPr="00000000">
        <w:rPr>
          <w:rFonts w:ascii="Calibri" w:cs="Calibri" w:eastAsia="Calibri" w:hAnsi="Calibri"/>
          <w:rtl w:val="0"/>
        </w:rPr>
        <w:t xml:space="preserve">družstvo                                                                               člen - nájemce</w:t>
      </w:r>
    </w:p>
    <w:p w:rsidR="00000000" w:rsidDel="00000000" w:rsidP="00000000" w:rsidRDefault="00000000" w:rsidRPr="00000000" w14:paraId="000000AE">
      <w:pPr>
        <w:ind w:left="27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AF">
      <w:pPr>
        <w:jc w:val="both"/>
        <w:rPr>
          <w:rFonts w:ascii="Calibri" w:cs="Calibri" w:eastAsia="Calibri" w:hAnsi="Calibri"/>
        </w:rPr>
      </w:pPr>
      <w:r w:rsidDel="00000000" w:rsidR="00000000" w:rsidRPr="00000000">
        <w:rPr>
          <w:rtl w:val="0"/>
        </w:rPr>
      </w:r>
    </w:p>
    <w:sectPr>
      <w:foot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lowerLetter"/>
      <w:lvlText w:val="%1)"/>
      <w:lvlJc w:val="left"/>
      <w:pPr>
        <w:ind w:left="720" w:hanging="360"/>
      </w:pPr>
      <w:rPr>
        <w:u w:val="none"/>
      </w:rPr>
    </w:lvl>
    <w:lvl w:ilvl="1">
      <w:start w:val="1"/>
      <w:numFmt w:val="lowerLetter"/>
      <w:lvlText w:val="%2)"/>
      <w:lvlJc w:val="left"/>
      <w:pPr>
        <w:ind w:left="1080" w:hanging="360"/>
      </w:pPr>
      <w:rPr>
        <w:u w:val="none"/>
      </w:rPr>
    </w:lvl>
    <w:lvl w:ilvl="2">
      <w:start w:val="1"/>
      <w:numFmt w:val="lowerLetter"/>
      <w:lvlText w:val="%3)"/>
      <w:lvlJc w:val="left"/>
      <w:pPr>
        <w:ind w:left="1440" w:hanging="360"/>
      </w:pPr>
      <w:rPr>
        <w:u w:val="none"/>
      </w:rPr>
    </w:lvl>
    <w:lvl w:ilvl="3">
      <w:start w:val="1"/>
      <w:numFmt w:val="lowerLetter"/>
      <w:lvlText w:val="%4)"/>
      <w:lvlJc w:val="left"/>
      <w:pPr>
        <w:ind w:left="1800" w:hanging="360"/>
      </w:pPr>
      <w:rPr>
        <w:u w:val="none"/>
      </w:rPr>
    </w:lvl>
    <w:lvl w:ilvl="4">
      <w:start w:val="1"/>
      <w:numFmt w:val="lowerLetter"/>
      <w:lvlText w:val="%5)"/>
      <w:lvlJc w:val="left"/>
      <w:pPr>
        <w:ind w:left="2160" w:hanging="360"/>
      </w:pPr>
      <w:rPr>
        <w:u w:val="none"/>
      </w:rPr>
    </w:lvl>
    <w:lvl w:ilvl="5">
      <w:start w:val="1"/>
      <w:numFmt w:val="lowerLetter"/>
      <w:lvlText w:val="%6)"/>
      <w:lvlJc w:val="left"/>
      <w:pPr>
        <w:ind w:left="2520" w:hanging="360"/>
      </w:pPr>
      <w:rPr>
        <w:u w:val="none"/>
      </w:rPr>
    </w:lvl>
    <w:lvl w:ilvl="6">
      <w:start w:val="1"/>
      <w:numFmt w:val="lowerLetter"/>
      <w:lvlText w:val="%7)"/>
      <w:lvlJc w:val="left"/>
      <w:pPr>
        <w:ind w:left="2880" w:hanging="360"/>
      </w:pPr>
      <w:rPr>
        <w:u w:val="none"/>
      </w:rPr>
    </w:lvl>
    <w:lvl w:ilvl="7">
      <w:start w:val="1"/>
      <w:numFmt w:val="lowerLetter"/>
      <w:lvlText w:val="%8)"/>
      <w:lvlJc w:val="left"/>
      <w:pPr>
        <w:ind w:left="3240" w:hanging="360"/>
      </w:pPr>
      <w:rPr>
        <w:u w:val="none"/>
      </w:rPr>
    </w:lvl>
    <w:lvl w:ilvl="8">
      <w:start w:val="1"/>
      <w:numFmt w:val="lowerLetter"/>
      <w:lvlText w:val="%9)"/>
      <w:lvlJc w:val="left"/>
      <w:pPr>
        <w:ind w:left="3600" w:hanging="360"/>
      </w:pPr>
      <w:rPr>
        <w:u w:val="none"/>
      </w:rPr>
    </w:lvl>
  </w:abstractNum>
  <w:abstractNum w:abstractNumId="4">
    <w:lvl w:ilvl="0">
      <w:start w:val="1"/>
      <w:numFmt w:val="decimal"/>
      <w:lvlText w:val="%1."/>
      <w:lvlJc w:val="left"/>
      <w:pPr>
        <w:ind w:left="785" w:hanging="360"/>
      </w:pPr>
      <w:rPr>
        <w:u w:val="none"/>
      </w:rPr>
    </w:lvl>
    <w:lvl w:ilvl="1">
      <w:start w:val="1"/>
      <w:numFmt w:val="decimal"/>
      <w:lvlText w:val="%2."/>
      <w:lvlJc w:val="left"/>
      <w:pPr>
        <w:ind w:left="1145" w:hanging="360"/>
      </w:pPr>
      <w:rPr>
        <w:u w:val="none"/>
      </w:rPr>
    </w:lvl>
    <w:lvl w:ilvl="2">
      <w:start w:val="1"/>
      <w:numFmt w:val="decimal"/>
      <w:lvlText w:val="%3."/>
      <w:lvlJc w:val="left"/>
      <w:pPr>
        <w:ind w:left="1505" w:hanging="360"/>
      </w:pPr>
      <w:rPr>
        <w:u w:val="none"/>
      </w:rPr>
    </w:lvl>
    <w:lvl w:ilvl="3">
      <w:start w:val="1"/>
      <w:numFmt w:val="decimal"/>
      <w:lvlText w:val="%4."/>
      <w:lvlJc w:val="left"/>
      <w:pPr>
        <w:ind w:left="1865" w:hanging="360"/>
      </w:pPr>
      <w:rPr>
        <w:u w:val="none"/>
      </w:rPr>
    </w:lvl>
    <w:lvl w:ilvl="4">
      <w:start w:val="1"/>
      <w:numFmt w:val="decimal"/>
      <w:lvlText w:val="%5."/>
      <w:lvlJc w:val="left"/>
      <w:pPr>
        <w:ind w:left="2225" w:hanging="360"/>
      </w:pPr>
      <w:rPr>
        <w:u w:val="none"/>
      </w:rPr>
    </w:lvl>
    <w:lvl w:ilvl="5">
      <w:start w:val="1"/>
      <w:numFmt w:val="decimal"/>
      <w:lvlText w:val="%6."/>
      <w:lvlJc w:val="left"/>
      <w:pPr>
        <w:ind w:left="2585" w:hanging="360"/>
      </w:pPr>
      <w:rPr>
        <w:u w:val="none"/>
      </w:rPr>
    </w:lvl>
    <w:lvl w:ilvl="6">
      <w:start w:val="1"/>
      <w:numFmt w:val="decimal"/>
      <w:lvlText w:val="%7."/>
      <w:lvlJc w:val="left"/>
      <w:pPr>
        <w:ind w:left="2945" w:hanging="360"/>
      </w:pPr>
      <w:rPr>
        <w:u w:val="none"/>
      </w:rPr>
    </w:lvl>
    <w:lvl w:ilvl="7">
      <w:start w:val="1"/>
      <w:numFmt w:val="decimal"/>
      <w:lvlText w:val="%8."/>
      <w:lvlJc w:val="left"/>
      <w:pPr>
        <w:ind w:left="3305" w:hanging="360"/>
      </w:pPr>
      <w:rPr>
        <w:u w:val="none"/>
      </w:rPr>
    </w:lvl>
    <w:lvl w:ilvl="8">
      <w:start w:val="1"/>
      <w:numFmt w:val="decimal"/>
      <w:lvlText w:val="%9."/>
      <w:lvlJc w:val="left"/>
      <w:pPr>
        <w:ind w:left="3665" w:hanging="360"/>
      </w:pPr>
      <w:rPr>
        <w:u w:val="none"/>
      </w:rPr>
    </w:lvl>
  </w:abstractNum>
  <w:abstractNum w:abstractNumId="5">
    <w:lvl w:ilvl="0">
      <w:start w:val="2"/>
      <w:numFmt w:val="decimal"/>
      <w:lvlText w:val="%1."/>
      <w:lvlJc w:val="left"/>
      <w:pPr>
        <w:ind w:left="720" w:hanging="360"/>
      </w:pPr>
      <w:rPr>
        <w:u w:val="none"/>
      </w:rPr>
    </w:lvl>
    <w:lvl w:ilvl="1">
      <w:start w:val="2"/>
      <w:numFmt w:val="decimal"/>
      <w:lvlText w:val="%2."/>
      <w:lvlJc w:val="left"/>
      <w:pPr>
        <w:ind w:left="1080" w:hanging="360"/>
      </w:pPr>
      <w:rPr>
        <w:u w:val="none"/>
      </w:rPr>
    </w:lvl>
    <w:lvl w:ilvl="2">
      <w:start w:val="2"/>
      <w:numFmt w:val="decimal"/>
      <w:lvlText w:val="%3."/>
      <w:lvlJc w:val="left"/>
      <w:pPr>
        <w:ind w:left="1440" w:hanging="360"/>
      </w:pPr>
      <w:rPr>
        <w:u w:val="none"/>
      </w:rPr>
    </w:lvl>
    <w:lvl w:ilvl="3">
      <w:start w:val="2"/>
      <w:numFmt w:val="decimal"/>
      <w:lvlText w:val="%4."/>
      <w:lvlJc w:val="left"/>
      <w:pPr>
        <w:ind w:left="1800" w:hanging="360"/>
      </w:pPr>
      <w:rPr>
        <w:u w:val="none"/>
      </w:rPr>
    </w:lvl>
    <w:lvl w:ilvl="4">
      <w:start w:val="2"/>
      <w:numFmt w:val="decimal"/>
      <w:lvlText w:val="%5."/>
      <w:lvlJc w:val="left"/>
      <w:pPr>
        <w:ind w:left="2160" w:hanging="360"/>
      </w:pPr>
      <w:rPr>
        <w:u w:val="none"/>
      </w:rPr>
    </w:lvl>
    <w:lvl w:ilvl="5">
      <w:start w:val="2"/>
      <w:numFmt w:val="decimal"/>
      <w:lvlText w:val="%6."/>
      <w:lvlJc w:val="left"/>
      <w:pPr>
        <w:ind w:left="2520" w:hanging="360"/>
      </w:pPr>
      <w:rPr>
        <w:u w:val="none"/>
      </w:rPr>
    </w:lvl>
    <w:lvl w:ilvl="6">
      <w:start w:val="2"/>
      <w:numFmt w:val="decimal"/>
      <w:lvlText w:val="%7."/>
      <w:lvlJc w:val="left"/>
      <w:pPr>
        <w:ind w:left="2880" w:hanging="360"/>
      </w:pPr>
      <w:rPr>
        <w:u w:val="none"/>
      </w:rPr>
    </w:lvl>
    <w:lvl w:ilvl="7">
      <w:start w:val="2"/>
      <w:numFmt w:val="decimal"/>
      <w:lvlText w:val="%8."/>
      <w:lvlJc w:val="left"/>
      <w:pPr>
        <w:ind w:left="3240" w:hanging="360"/>
      </w:pPr>
      <w:rPr>
        <w:u w:val="none"/>
      </w:rPr>
    </w:lvl>
    <w:lvl w:ilvl="8">
      <w:start w:val="2"/>
      <w:numFmt w:val="decimal"/>
      <w:lvlText w:val="%9."/>
      <w:lvlJc w:val="left"/>
      <w:pPr>
        <w:ind w:left="36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9">
    <w:lvl w:ilvl="0">
      <w:start w:val="1"/>
      <w:numFmt w:val="decimal"/>
      <w:lvlText w:val="%1."/>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1704"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2">
    <w:lvl w:ilvl="0">
      <w:start w:val="1"/>
      <w:numFmt w:val="lowerLetter"/>
      <w:lvlText w:val="%1)"/>
      <w:lvlJc w:val="left"/>
      <w:pPr>
        <w:ind w:left="852" w:hanging="360"/>
      </w:pPr>
      <w:rPr>
        <w:u w:val="none"/>
      </w:rPr>
    </w:lvl>
    <w:lvl w:ilvl="1">
      <w:start w:val="1"/>
      <w:numFmt w:val="decimal"/>
      <w:lvlText w:val="%2."/>
      <w:lvlJc w:val="left"/>
      <w:pPr>
        <w:ind w:left="1572" w:hanging="360"/>
      </w:pPr>
      <w:rPr>
        <w:u w:val="none"/>
      </w:rPr>
    </w:lvl>
    <w:lvl w:ilvl="2">
      <w:start w:val="1"/>
      <w:numFmt w:val="lowerRoman"/>
      <w:lvlText w:val="%3."/>
      <w:lvlJc w:val="right"/>
      <w:pPr>
        <w:ind w:left="2292" w:hanging="180"/>
      </w:pPr>
      <w:rPr>
        <w:u w:val="none"/>
      </w:rPr>
    </w:lvl>
    <w:lvl w:ilvl="3">
      <w:start w:val="1"/>
      <w:numFmt w:val="decimal"/>
      <w:lvlText w:val="%4."/>
      <w:lvlJc w:val="left"/>
      <w:pPr>
        <w:ind w:left="3012" w:hanging="360"/>
      </w:pPr>
      <w:rPr>
        <w:u w:val="none"/>
      </w:rPr>
    </w:lvl>
    <w:lvl w:ilvl="4">
      <w:start w:val="1"/>
      <w:numFmt w:val="lowerLetter"/>
      <w:lvlText w:val="%5."/>
      <w:lvlJc w:val="left"/>
      <w:pPr>
        <w:ind w:left="3732" w:hanging="360"/>
      </w:pPr>
      <w:rPr>
        <w:u w:val="none"/>
      </w:rPr>
    </w:lvl>
    <w:lvl w:ilvl="5">
      <w:start w:val="1"/>
      <w:numFmt w:val="lowerRoman"/>
      <w:lvlText w:val="%6."/>
      <w:lvlJc w:val="right"/>
      <w:pPr>
        <w:ind w:left="4452" w:hanging="180"/>
      </w:pPr>
      <w:rPr>
        <w:u w:val="none"/>
      </w:rPr>
    </w:lvl>
    <w:lvl w:ilvl="6">
      <w:start w:val="1"/>
      <w:numFmt w:val="decimal"/>
      <w:lvlText w:val="%7."/>
      <w:lvlJc w:val="left"/>
      <w:pPr>
        <w:ind w:left="5172" w:hanging="360"/>
      </w:pPr>
      <w:rPr>
        <w:u w:val="none"/>
      </w:rPr>
    </w:lvl>
    <w:lvl w:ilvl="7">
      <w:start w:val="1"/>
      <w:numFmt w:val="lowerLetter"/>
      <w:lvlText w:val="%8."/>
      <w:lvlJc w:val="left"/>
      <w:pPr>
        <w:ind w:left="5892" w:hanging="360"/>
      </w:pPr>
      <w:rPr>
        <w:u w:val="none"/>
      </w:rPr>
    </w:lvl>
    <w:lvl w:ilvl="8">
      <w:start w:val="1"/>
      <w:numFmt w:val="lowerRoman"/>
      <w:lvlText w:val="%9."/>
      <w:lvlJc w:val="right"/>
      <w:pPr>
        <w:ind w:left="6612" w:hanging="18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cs-CZ"/>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ln" w:default="1">
    <w:name w:val="Normal"/>
    <w:qFormat w:val="1"/>
    <w:rsid w:val="00391BCF"/>
    <w:pPr>
      <w:widowControl w:val="0"/>
      <w:suppressAutoHyphens w:val="1"/>
      <w:spacing w:after="0" w:line="240" w:lineRule="auto"/>
    </w:pPr>
    <w:rPr>
      <w:rFonts w:ascii="Times New Roman" w:cs="Mangal" w:eastAsia="SimSun" w:hAnsi="Times New Roman"/>
      <w:kern w:val="1"/>
      <w:sz w:val="24"/>
      <w:szCs w:val="24"/>
      <w:lang w:bidi="hi-IN" w:eastAsia="hi-IN"/>
    </w:rPr>
  </w:style>
  <w:style w:type="paragraph" w:styleId="Nadpis1">
    <w:name w:val="heading 1"/>
    <w:basedOn w:val="Normln"/>
    <w:next w:val="Normln"/>
    <w:link w:val="Nadpis1Char"/>
    <w:uiPriority w:val="9"/>
    <w:qFormat w:val="1"/>
    <w:rsid w:val="00391BCF"/>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Nadpis2">
    <w:name w:val="heading 2"/>
    <w:basedOn w:val="Normln"/>
    <w:next w:val="Normln"/>
    <w:link w:val="Nadpis2Char"/>
    <w:uiPriority w:val="9"/>
    <w:semiHidden w:val="1"/>
    <w:unhideWhenUsed w:val="1"/>
    <w:qFormat w:val="1"/>
    <w:rsid w:val="00391BCF"/>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Nadpis3">
    <w:name w:val="heading 3"/>
    <w:basedOn w:val="Normln"/>
    <w:next w:val="Normln"/>
    <w:link w:val="Nadpis3Char"/>
    <w:uiPriority w:val="9"/>
    <w:semiHidden w:val="1"/>
    <w:unhideWhenUsed w:val="1"/>
    <w:qFormat w:val="1"/>
    <w:rsid w:val="00391BCF"/>
    <w:pPr>
      <w:keepNext w:val="1"/>
      <w:keepLines w:val="1"/>
      <w:spacing w:after="80" w:before="160"/>
      <w:outlineLvl w:val="2"/>
    </w:pPr>
    <w:rPr>
      <w:rFonts w:cstheme="majorBidi" w:eastAsiaTheme="majorEastAsia"/>
      <w:color w:val="0f4761" w:themeColor="accent1" w:themeShade="0000BF"/>
      <w:sz w:val="28"/>
      <w:szCs w:val="28"/>
    </w:rPr>
  </w:style>
  <w:style w:type="paragraph" w:styleId="Nadpis4">
    <w:name w:val="heading 4"/>
    <w:basedOn w:val="Normln"/>
    <w:next w:val="Normln"/>
    <w:link w:val="Nadpis4Char"/>
    <w:uiPriority w:val="9"/>
    <w:semiHidden w:val="1"/>
    <w:unhideWhenUsed w:val="1"/>
    <w:qFormat w:val="1"/>
    <w:rsid w:val="00391BCF"/>
    <w:pPr>
      <w:keepNext w:val="1"/>
      <w:keepLines w:val="1"/>
      <w:spacing w:after="40" w:before="80"/>
      <w:outlineLvl w:val="3"/>
    </w:pPr>
    <w:rPr>
      <w:rFonts w:cstheme="majorBidi" w:eastAsiaTheme="majorEastAsia"/>
      <w:i w:val="1"/>
      <w:iCs w:val="1"/>
      <w:color w:val="0f4761" w:themeColor="accent1" w:themeShade="0000BF"/>
    </w:rPr>
  </w:style>
  <w:style w:type="paragraph" w:styleId="Nadpis5">
    <w:name w:val="heading 5"/>
    <w:basedOn w:val="Normln"/>
    <w:next w:val="Normln"/>
    <w:link w:val="Nadpis5Char"/>
    <w:uiPriority w:val="9"/>
    <w:semiHidden w:val="1"/>
    <w:unhideWhenUsed w:val="1"/>
    <w:qFormat w:val="1"/>
    <w:rsid w:val="00391BCF"/>
    <w:pPr>
      <w:keepNext w:val="1"/>
      <w:keepLines w:val="1"/>
      <w:spacing w:after="40" w:before="80"/>
      <w:outlineLvl w:val="4"/>
    </w:pPr>
    <w:rPr>
      <w:rFonts w:cstheme="majorBidi" w:eastAsiaTheme="majorEastAsia"/>
      <w:color w:val="0f4761" w:themeColor="accent1" w:themeShade="0000BF"/>
    </w:rPr>
  </w:style>
  <w:style w:type="paragraph" w:styleId="Nadpis6">
    <w:name w:val="heading 6"/>
    <w:basedOn w:val="Normln"/>
    <w:next w:val="Normln"/>
    <w:link w:val="Nadpis6Char"/>
    <w:uiPriority w:val="9"/>
    <w:semiHidden w:val="1"/>
    <w:unhideWhenUsed w:val="1"/>
    <w:qFormat w:val="1"/>
    <w:rsid w:val="00391BCF"/>
    <w:pPr>
      <w:keepNext w:val="1"/>
      <w:keepLines w:val="1"/>
      <w:spacing w:before="40"/>
      <w:outlineLvl w:val="5"/>
    </w:pPr>
    <w:rPr>
      <w:rFonts w:cstheme="majorBidi" w:eastAsiaTheme="majorEastAsia"/>
      <w:i w:val="1"/>
      <w:iCs w:val="1"/>
      <w:color w:val="595959" w:themeColor="text1" w:themeTint="0000A6"/>
    </w:rPr>
  </w:style>
  <w:style w:type="paragraph" w:styleId="Nadpis7">
    <w:name w:val="heading 7"/>
    <w:basedOn w:val="Normln"/>
    <w:next w:val="Normln"/>
    <w:link w:val="Nadpis7Char"/>
    <w:uiPriority w:val="9"/>
    <w:semiHidden w:val="1"/>
    <w:unhideWhenUsed w:val="1"/>
    <w:qFormat w:val="1"/>
    <w:rsid w:val="00391BCF"/>
    <w:pPr>
      <w:keepNext w:val="1"/>
      <w:keepLines w:val="1"/>
      <w:spacing w:before="40"/>
      <w:outlineLvl w:val="6"/>
    </w:pPr>
    <w:rPr>
      <w:rFonts w:cstheme="majorBidi" w:eastAsiaTheme="majorEastAsia"/>
      <w:color w:val="595959" w:themeColor="text1" w:themeTint="0000A6"/>
    </w:rPr>
  </w:style>
  <w:style w:type="paragraph" w:styleId="Nadpis8">
    <w:name w:val="heading 8"/>
    <w:basedOn w:val="Normln"/>
    <w:next w:val="Normln"/>
    <w:link w:val="Nadpis8Char"/>
    <w:uiPriority w:val="9"/>
    <w:semiHidden w:val="1"/>
    <w:unhideWhenUsed w:val="1"/>
    <w:qFormat w:val="1"/>
    <w:rsid w:val="00391BCF"/>
    <w:pPr>
      <w:keepNext w:val="1"/>
      <w:keepLines w:val="1"/>
      <w:outlineLvl w:val="7"/>
    </w:pPr>
    <w:rPr>
      <w:rFonts w:cstheme="majorBidi" w:eastAsiaTheme="majorEastAsia"/>
      <w:i w:val="1"/>
      <w:iCs w:val="1"/>
      <w:color w:val="272727" w:themeColor="text1" w:themeTint="0000D8"/>
    </w:rPr>
  </w:style>
  <w:style w:type="paragraph" w:styleId="Nadpis9">
    <w:name w:val="heading 9"/>
    <w:basedOn w:val="Normln"/>
    <w:next w:val="Normln"/>
    <w:link w:val="Nadpis9Char"/>
    <w:uiPriority w:val="9"/>
    <w:semiHidden w:val="1"/>
    <w:unhideWhenUsed w:val="1"/>
    <w:qFormat w:val="1"/>
    <w:rsid w:val="00391BCF"/>
    <w:pPr>
      <w:keepNext w:val="1"/>
      <w:keepLines w:val="1"/>
      <w:outlineLvl w:val="8"/>
    </w:pPr>
    <w:rPr>
      <w:rFonts w:cstheme="majorBidi" w:eastAsiaTheme="majorEastAsia"/>
      <w:color w:val="272727" w:themeColor="text1" w:themeTint="0000D8"/>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391BCF"/>
    <w:rPr>
      <w:rFonts w:asciiTheme="majorHAnsi" w:cstheme="majorBidi" w:eastAsiaTheme="majorEastAsia" w:hAnsiTheme="majorHAnsi"/>
      <w:color w:val="0f4761" w:themeColor="accent1" w:themeShade="0000BF"/>
      <w:sz w:val="40"/>
      <w:szCs w:val="40"/>
    </w:rPr>
  </w:style>
  <w:style w:type="character" w:styleId="Nadpis2Char" w:customStyle="1">
    <w:name w:val="Nadpis 2 Char"/>
    <w:basedOn w:val="Standardnpsmoodstavce"/>
    <w:link w:val="Nadpis2"/>
    <w:uiPriority w:val="9"/>
    <w:semiHidden w:val="1"/>
    <w:rsid w:val="00391BCF"/>
    <w:rPr>
      <w:rFonts w:asciiTheme="majorHAnsi" w:cstheme="majorBidi" w:eastAsiaTheme="majorEastAsia" w:hAnsiTheme="majorHAnsi"/>
      <w:color w:val="0f4761" w:themeColor="accent1" w:themeShade="0000BF"/>
      <w:sz w:val="32"/>
      <w:szCs w:val="32"/>
    </w:rPr>
  </w:style>
  <w:style w:type="character" w:styleId="Nadpis3Char" w:customStyle="1">
    <w:name w:val="Nadpis 3 Char"/>
    <w:basedOn w:val="Standardnpsmoodstavce"/>
    <w:link w:val="Nadpis3"/>
    <w:uiPriority w:val="9"/>
    <w:semiHidden w:val="1"/>
    <w:rsid w:val="00391BCF"/>
    <w:rPr>
      <w:rFonts w:cstheme="majorBidi" w:eastAsiaTheme="majorEastAsia"/>
      <w:color w:val="0f4761" w:themeColor="accent1" w:themeShade="0000BF"/>
      <w:sz w:val="28"/>
      <w:szCs w:val="28"/>
    </w:rPr>
  </w:style>
  <w:style w:type="character" w:styleId="Nadpis4Char" w:customStyle="1">
    <w:name w:val="Nadpis 4 Char"/>
    <w:basedOn w:val="Standardnpsmoodstavce"/>
    <w:link w:val="Nadpis4"/>
    <w:uiPriority w:val="9"/>
    <w:semiHidden w:val="1"/>
    <w:rsid w:val="00391BCF"/>
    <w:rPr>
      <w:rFonts w:cstheme="majorBidi" w:eastAsiaTheme="majorEastAsia"/>
      <w:i w:val="1"/>
      <w:iCs w:val="1"/>
      <w:color w:val="0f4761" w:themeColor="accent1" w:themeShade="0000BF"/>
    </w:rPr>
  </w:style>
  <w:style w:type="character" w:styleId="Nadpis5Char" w:customStyle="1">
    <w:name w:val="Nadpis 5 Char"/>
    <w:basedOn w:val="Standardnpsmoodstavce"/>
    <w:link w:val="Nadpis5"/>
    <w:uiPriority w:val="9"/>
    <w:semiHidden w:val="1"/>
    <w:rsid w:val="00391BCF"/>
    <w:rPr>
      <w:rFonts w:cstheme="majorBidi" w:eastAsiaTheme="majorEastAsia"/>
      <w:color w:val="0f4761" w:themeColor="accent1" w:themeShade="0000BF"/>
    </w:rPr>
  </w:style>
  <w:style w:type="character" w:styleId="Nadpis6Char" w:customStyle="1">
    <w:name w:val="Nadpis 6 Char"/>
    <w:basedOn w:val="Standardnpsmoodstavce"/>
    <w:link w:val="Nadpis6"/>
    <w:uiPriority w:val="9"/>
    <w:semiHidden w:val="1"/>
    <w:rsid w:val="00391BCF"/>
    <w:rPr>
      <w:rFonts w:cstheme="majorBidi" w:eastAsiaTheme="majorEastAsia"/>
      <w:i w:val="1"/>
      <w:iCs w:val="1"/>
      <w:color w:val="595959" w:themeColor="text1" w:themeTint="0000A6"/>
    </w:rPr>
  </w:style>
  <w:style w:type="character" w:styleId="Nadpis7Char" w:customStyle="1">
    <w:name w:val="Nadpis 7 Char"/>
    <w:basedOn w:val="Standardnpsmoodstavce"/>
    <w:link w:val="Nadpis7"/>
    <w:uiPriority w:val="9"/>
    <w:semiHidden w:val="1"/>
    <w:rsid w:val="00391BCF"/>
    <w:rPr>
      <w:rFonts w:cstheme="majorBidi" w:eastAsiaTheme="majorEastAsia"/>
      <w:color w:val="595959" w:themeColor="text1" w:themeTint="0000A6"/>
    </w:rPr>
  </w:style>
  <w:style w:type="character" w:styleId="Nadpis8Char" w:customStyle="1">
    <w:name w:val="Nadpis 8 Char"/>
    <w:basedOn w:val="Standardnpsmoodstavce"/>
    <w:link w:val="Nadpis8"/>
    <w:uiPriority w:val="9"/>
    <w:semiHidden w:val="1"/>
    <w:rsid w:val="00391BCF"/>
    <w:rPr>
      <w:rFonts w:cstheme="majorBidi" w:eastAsiaTheme="majorEastAsia"/>
      <w:i w:val="1"/>
      <w:iCs w:val="1"/>
      <w:color w:val="272727" w:themeColor="text1" w:themeTint="0000D8"/>
    </w:rPr>
  </w:style>
  <w:style w:type="character" w:styleId="Nadpis9Char" w:customStyle="1">
    <w:name w:val="Nadpis 9 Char"/>
    <w:basedOn w:val="Standardnpsmoodstavce"/>
    <w:link w:val="Nadpis9"/>
    <w:uiPriority w:val="9"/>
    <w:semiHidden w:val="1"/>
    <w:rsid w:val="00391BCF"/>
    <w:rPr>
      <w:rFonts w:cstheme="majorBidi" w:eastAsiaTheme="majorEastAsia"/>
      <w:color w:val="272727" w:themeColor="text1" w:themeTint="0000D8"/>
    </w:rPr>
  </w:style>
  <w:style w:type="paragraph" w:styleId="Nzev">
    <w:name w:val="Title"/>
    <w:basedOn w:val="Normln"/>
    <w:next w:val="Normln"/>
    <w:link w:val="NzevChar"/>
    <w:uiPriority w:val="10"/>
    <w:qFormat w:val="1"/>
    <w:rsid w:val="00391BCF"/>
    <w:pPr>
      <w:spacing w:after="80"/>
      <w:contextualSpacing w:val="1"/>
    </w:pPr>
    <w:rPr>
      <w:rFonts w:asciiTheme="majorHAnsi" w:cstheme="majorBidi" w:eastAsiaTheme="majorEastAsia" w:hAnsiTheme="majorHAnsi"/>
      <w:spacing w:val="-10"/>
      <w:kern w:val="28"/>
      <w:sz w:val="56"/>
      <w:szCs w:val="56"/>
    </w:rPr>
  </w:style>
  <w:style w:type="character" w:styleId="NzevChar" w:customStyle="1">
    <w:name w:val="Název Char"/>
    <w:basedOn w:val="Standardnpsmoodstavce"/>
    <w:link w:val="Nzev"/>
    <w:uiPriority w:val="10"/>
    <w:rsid w:val="00391BCF"/>
    <w:rPr>
      <w:rFonts w:asciiTheme="majorHAnsi" w:cstheme="majorBidi" w:eastAsiaTheme="majorEastAsia" w:hAnsiTheme="majorHAnsi"/>
      <w:spacing w:val="-10"/>
      <w:kern w:val="28"/>
      <w:sz w:val="56"/>
      <w:szCs w:val="56"/>
    </w:rPr>
  </w:style>
  <w:style w:type="paragraph" w:styleId="Podnadpis">
    <w:name w:val="Subtitle"/>
    <w:basedOn w:val="Normln"/>
    <w:next w:val="Normln"/>
    <w:link w:val="PodnadpisChar"/>
    <w:uiPriority w:val="11"/>
    <w:qFormat w:val="1"/>
    <w:rsid w:val="00391BCF"/>
    <w:pPr>
      <w:numPr>
        <w:ilvl w:val="1"/>
      </w:numPr>
    </w:pPr>
    <w:rPr>
      <w:rFonts w:cstheme="majorBidi" w:eastAsiaTheme="majorEastAsia"/>
      <w:color w:val="595959" w:themeColor="text1" w:themeTint="0000A6"/>
      <w:spacing w:val="15"/>
      <w:sz w:val="28"/>
      <w:szCs w:val="28"/>
    </w:rPr>
  </w:style>
  <w:style w:type="character" w:styleId="PodnadpisChar" w:customStyle="1">
    <w:name w:val="Podnadpis Char"/>
    <w:basedOn w:val="Standardnpsmoodstavce"/>
    <w:link w:val="Podnadpis"/>
    <w:uiPriority w:val="11"/>
    <w:rsid w:val="00391BCF"/>
    <w:rPr>
      <w:rFonts w:cstheme="majorBidi" w:eastAsiaTheme="majorEastAsia"/>
      <w:color w:val="595959" w:themeColor="text1" w:themeTint="0000A6"/>
      <w:spacing w:val="15"/>
      <w:sz w:val="28"/>
      <w:szCs w:val="28"/>
    </w:rPr>
  </w:style>
  <w:style w:type="paragraph" w:styleId="Citt">
    <w:name w:val="Quote"/>
    <w:basedOn w:val="Normln"/>
    <w:next w:val="Normln"/>
    <w:link w:val="CittChar"/>
    <w:uiPriority w:val="29"/>
    <w:qFormat w:val="1"/>
    <w:rsid w:val="00391BCF"/>
    <w:pPr>
      <w:spacing w:before="160"/>
      <w:jc w:val="center"/>
    </w:pPr>
    <w:rPr>
      <w:i w:val="1"/>
      <w:iCs w:val="1"/>
      <w:color w:val="404040" w:themeColor="text1" w:themeTint="0000BF"/>
    </w:rPr>
  </w:style>
  <w:style w:type="character" w:styleId="CittChar" w:customStyle="1">
    <w:name w:val="Citát Char"/>
    <w:basedOn w:val="Standardnpsmoodstavce"/>
    <w:link w:val="Citt"/>
    <w:uiPriority w:val="29"/>
    <w:rsid w:val="00391BCF"/>
    <w:rPr>
      <w:i w:val="1"/>
      <w:iCs w:val="1"/>
      <w:color w:val="404040" w:themeColor="text1" w:themeTint="0000BF"/>
    </w:rPr>
  </w:style>
  <w:style w:type="paragraph" w:styleId="Odstavecseseznamem">
    <w:name w:val="List Paragraph"/>
    <w:basedOn w:val="Normln"/>
    <w:uiPriority w:val="34"/>
    <w:qFormat w:val="1"/>
    <w:rsid w:val="00391BCF"/>
    <w:pPr>
      <w:ind w:left="720"/>
      <w:contextualSpacing w:val="1"/>
    </w:pPr>
  </w:style>
  <w:style w:type="character" w:styleId="Zdraznnintenzivn">
    <w:name w:val="Intense Emphasis"/>
    <w:basedOn w:val="Standardnpsmoodstavce"/>
    <w:uiPriority w:val="21"/>
    <w:qFormat w:val="1"/>
    <w:rsid w:val="00391BCF"/>
    <w:rPr>
      <w:i w:val="1"/>
      <w:iCs w:val="1"/>
      <w:color w:val="0f4761" w:themeColor="accent1" w:themeShade="0000BF"/>
    </w:rPr>
  </w:style>
  <w:style w:type="paragraph" w:styleId="Vrazncitt">
    <w:name w:val="Intense Quote"/>
    <w:basedOn w:val="Normln"/>
    <w:next w:val="Normln"/>
    <w:link w:val="VrazncittChar"/>
    <w:uiPriority w:val="30"/>
    <w:qFormat w:val="1"/>
    <w:rsid w:val="00391BC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VrazncittChar" w:customStyle="1">
    <w:name w:val="Výrazný citát Char"/>
    <w:basedOn w:val="Standardnpsmoodstavce"/>
    <w:link w:val="Vrazncitt"/>
    <w:uiPriority w:val="30"/>
    <w:rsid w:val="00391BCF"/>
    <w:rPr>
      <w:i w:val="1"/>
      <w:iCs w:val="1"/>
      <w:color w:val="0f4761" w:themeColor="accent1" w:themeShade="0000BF"/>
    </w:rPr>
  </w:style>
  <w:style w:type="character" w:styleId="Odkazintenzivn">
    <w:name w:val="Intense Reference"/>
    <w:basedOn w:val="Standardnpsmoodstavce"/>
    <w:uiPriority w:val="32"/>
    <w:qFormat w:val="1"/>
    <w:rsid w:val="00391BCF"/>
    <w:rPr>
      <w:b w:val="1"/>
      <w:bCs w:val="1"/>
      <w:smallCaps w:val="1"/>
      <w:color w:val="0f4761" w:themeColor="accent1" w:themeShade="0000BF"/>
      <w:spacing w:val="5"/>
    </w:rPr>
  </w:style>
  <w:style w:type="paragraph" w:styleId="Zhlav">
    <w:name w:val="header"/>
    <w:basedOn w:val="Normln"/>
    <w:link w:val="ZhlavChar"/>
    <w:uiPriority w:val="99"/>
    <w:unhideWhenUsed w:val="1"/>
    <w:rsid w:val="00D938D2"/>
    <w:pPr>
      <w:tabs>
        <w:tab w:val="center" w:pos="4536"/>
        <w:tab w:val="right" w:pos="9072"/>
      </w:tabs>
    </w:pPr>
    <w:rPr>
      <w:szCs w:val="21"/>
    </w:rPr>
  </w:style>
  <w:style w:type="character" w:styleId="ZhlavChar" w:customStyle="1">
    <w:name w:val="Záhlaví Char"/>
    <w:basedOn w:val="Standardnpsmoodstavce"/>
    <w:link w:val="Zhlav"/>
    <w:uiPriority w:val="99"/>
    <w:rsid w:val="00D938D2"/>
    <w:rPr>
      <w:rFonts w:ascii="Times New Roman" w:cs="Mangal" w:eastAsia="SimSun" w:hAnsi="Times New Roman"/>
      <w:kern w:val="1"/>
      <w:sz w:val="24"/>
      <w:szCs w:val="21"/>
      <w:lang w:bidi="hi-IN" w:eastAsia="hi-IN"/>
    </w:rPr>
  </w:style>
  <w:style w:type="paragraph" w:styleId="Zpat">
    <w:name w:val="footer"/>
    <w:basedOn w:val="Normln"/>
    <w:link w:val="ZpatChar"/>
    <w:uiPriority w:val="99"/>
    <w:unhideWhenUsed w:val="1"/>
    <w:rsid w:val="00D938D2"/>
    <w:pPr>
      <w:tabs>
        <w:tab w:val="center" w:pos="4536"/>
        <w:tab w:val="right" w:pos="9072"/>
      </w:tabs>
    </w:pPr>
    <w:rPr>
      <w:szCs w:val="21"/>
    </w:rPr>
  </w:style>
  <w:style w:type="character" w:styleId="ZpatChar" w:customStyle="1">
    <w:name w:val="Zápatí Char"/>
    <w:basedOn w:val="Standardnpsmoodstavce"/>
    <w:link w:val="Zpat"/>
    <w:uiPriority w:val="99"/>
    <w:rsid w:val="00D938D2"/>
    <w:rPr>
      <w:rFonts w:ascii="Times New Roman" w:cs="Mangal" w:eastAsia="SimSun" w:hAnsi="Times New Roman"/>
      <w:kern w:val="1"/>
      <w:sz w:val="24"/>
      <w:szCs w:val="21"/>
      <w:lang w:bidi="hi-IN" w:eastAsia="hi-IN"/>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kFLcFyOkAEMrs3UtcOveIr4cTw==">CgMxLjAyDmguOTVramR2MzRxaHEyOAByITF4d3hiX3B2SnNEcThWQkkxT0FXTjZCRUhzaXA4SjlPeQ==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2024-05-21T13:22:00Z</dcterms:created>
  <dc:creator>Právník</dc:creator>
</cp:coreProperties>
</file>